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3" w:rsidRPr="003307A3" w:rsidRDefault="00152025" w:rsidP="003307A3">
      <w:pPr>
        <w:pStyle w:val="Title"/>
        <w:rPr>
          <w:rFonts w:asciiTheme="minorHAnsi" w:hAnsiTheme="minorHAnsi" w:cstheme="minorHAnsi"/>
          <w:b w:val="0"/>
          <w:sz w:val="36"/>
          <w:szCs w:val="36"/>
        </w:rPr>
      </w:pPr>
      <w:bookmarkStart w:id="0" w:name="_GoBack"/>
      <w:bookmarkEnd w:id="0"/>
      <w:r>
        <w:rPr>
          <w:rFonts w:asciiTheme="minorHAnsi" w:hAnsiTheme="minorHAnsi" w:cstheme="minorHAnsi"/>
          <w:b w:val="0"/>
          <w:sz w:val="36"/>
          <w:szCs w:val="36"/>
        </w:rPr>
        <w:t>391E Ethnography</w:t>
      </w:r>
    </w:p>
    <w:p w:rsidR="003307A3" w:rsidRPr="003307A3" w:rsidRDefault="00152025" w:rsidP="00152025">
      <w:pPr>
        <w:spacing w:after="0"/>
        <w:jc w:val="center"/>
        <w:rPr>
          <w:rFonts w:cstheme="minorHAnsi"/>
          <w:szCs w:val="24"/>
        </w:rPr>
      </w:pPr>
      <w:r>
        <w:rPr>
          <w:rFonts w:cstheme="minorHAnsi"/>
          <w:szCs w:val="24"/>
        </w:rPr>
        <w:t>Spring 2013</w:t>
      </w:r>
    </w:p>
    <w:p w:rsidR="003307A3" w:rsidRPr="003307A3" w:rsidRDefault="00152025" w:rsidP="00152025">
      <w:pPr>
        <w:spacing w:after="0"/>
        <w:jc w:val="center"/>
        <w:rPr>
          <w:rFonts w:cstheme="minorHAnsi"/>
          <w:szCs w:val="24"/>
        </w:rPr>
      </w:pPr>
      <w:r>
        <w:rPr>
          <w:rFonts w:cstheme="minorHAnsi"/>
          <w:szCs w:val="24"/>
        </w:rPr>
        <w:t>Tuesdays</w:t>
      </w:r>
      <w:r w:rsidR="003307A3" w:rsidRPr="003307A3">
        <w:rPr>
          <w:rFonts w:cstheme="minorHAnsi"/>
          <w:szCs w:val="24"/>
        </w:rPr>
        <w:t xml:space="preserve"> 9-12</w:t>
      </w:r>
    </w:p>
    <w:p w:rsidR="003307A3" w:rsidRPr="003307A3" w:rsidRDefault="003307A3" w:rsidP="00152025">
      <w:pPr>
        <w:spacing w:after="0"/>
        <w:jc w:val="center"/>
        <w:rPr>
          <w:rFonts w:cstheme="minorHAnsi"/>
          <w:szCs w:val="24"/>
        </w:rPr>
      </w:pPr>
      <w:r w:rsidRPr="003307A3">
        <w:rPr>
          <w:rFonts w:cstheme="minorHAnsi"/>
          <w:szCs w:val="24"/>
        </w:rPr>
        <w:t>UTA Bldg Rm 1.504</w:t>
      </w:r>
    </w:p>
    <w:p w:rsidR="00152025" w:rsidRDefault="00152025" w:rsidP="003307A3">
      <w:pPr>
        <w:rPr>
          <w:rFonts w:cstheme="minorHAnsi"/>
          <w:szCs w:val="24"/>
        </w:rPr>
        <w:sectPr w:rsidR="00152025" w:rsidSect="00BB6BB1">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3307A3" w:rsidRPr="003307A3" w:rsidRDefault="003307A3" w:rsidP="003307A3">
      <w:pPr>
        <w:rPr>
          <w:rFonts w:cstheme="minorHAnsi"/>
          <w:szCs w:val="24"/>
        </w:rPr>
      </w:pPr>
    </w:p>
    <w:p w:rsidR="00152025" w:rsidRDefault="00152025" w:rsidP="003307A3">
      <w:pPr>
        <w:pStyle w:val="BodyText"/>
        <w:rPr>
          <w:rFonts w:asciiTheme="minorHAnsi" w:hAnsiTheme="minorHAnsi" w:cstheme="minorHAnsi"/>
          <w:b/>
          <w:i/>
          <w:sz w:val="24"/>
          <w:szCs w:val="24"/>
        </w:rPr>
        <w:sectPr w:rsidR="00152025" w:rsidSect="00152025">
          <w:type w:val="continuous"/>
          <w:pgSz w:w="12240" w:h="15840"/>
          <w:pgMar w:top="1440" w:right="1440" w:bottom="1440" w:left="1440" w:header="720" w:footer="720" w:gutter="0"/>
          <w:cols w:space="720"/>
          <w:docGrid w:linePitch="360"/>
        </w:sectPr>
      </w:pPr>
    </w:p>
    <w:p w:rsidR="00152025" w:rsidRDefault="00152025" w:rsidP="003307A3">
      <w:pPr>
        <w:pStyle w:val="BodyText"/>
        <w:rPr>
          <w:rFonts w:asciiTheme="minorHAnsi" w:hAnsiTheme="minorHAnsi" w:cstheme="minorHAnsi"/>
          <w:b/>
          <w:i/>
          <w:sz w:val="24"/>
          <w:szCs w:val="24"/>
        </w:rPr>
      </w:pPr>
      <w:r>
        <w:rPr>
          <w:rFonts w:asciiTheme="minorHAnsi" w:hAnsiTheme="minorHAnsi" w:cstheme="minorHAnsi"/>
          <w:b/>
          <w:i/>
          <w:sz w:val="24"/>
          <w:szCs w:val="24"/>
        </w:rPr>
        <w:lastRenderedPageBreak/>
        <w:t>Professor Diane E. Bailey</w:t>
      </w:r>
    </w:p>
    <w:p w:rsidR="00152025" w:rsidRDefault="00152025" w:rsidP="003307A3">
      <w:pPr>
        <w:pStyle w:val="BodyText"/>
        <w:rPr>
          <w:rFonts w:asciiTheme="minorHAnsi" w:hAnsiTheme="minorHAnsi" w:cstheme="minorHAnsi"/>
          <w:b/>
          <w:i/>
          <w:sz w:val="24"/>
          <w:szCs w:val="24"/>
        </w:rPr>
      </w:pPr>
      <w:r>
        <w:rPr>
          <w:rFonts w:asciiTheme="minorHAnsi" w:hAnsiTheme="minorHAnsi" w:cstheme="minorHAnsi"/>
          <w:b/>
          <w:i/>
          <w:sz w:val="24"/>
          <w:szCs w:val="24"/>
        </w:rPr>
        <w:t>UTA 5.438</w:t>
      </w:r>
    </w:p>
    <w:p w:rsidR="00152025" w:rsidRDefault="00335A9E" w:rsidP="003307A3">
      <w:pPr>
        <w:pStyle w:val="BodyText"/>
        <w:rPr>
          <w:rFonts w:asciiTheme="minorHAnsi" w:hAnsiTheme="minorHAnsi" w:cstheme="minorHAnsi"/>
          <w:b/>
          <w:i/>
          <w:sz w:val="24"/>
          <w:szCs w:val="24"/>
        </w:rPr>
      </w:pPr>
      <w:hyperlink r:id="rId11" w:history="1">
        <w:r w:rsidR="00152025" w:rsidRPr="00CF3C54">
          <w:rPr>
            <w:rStyle w:val="Hyperlink"/>
            <w:rFonts w:asciiTheme="minorHAnsi" w:hAnsiTheme="minorHAnsi" w:cstheme="minorHAnsi"/>
            <w:b/>
            <w:i/>
            <w:sz w:val="24"/>
            <w:szCs w:val="24"/>
          </w:rPr>
          <w:t>Diane.bailey@ischool.utexas.edu</w:t>
        </w:r>
      </w:hyperlink>
    </w:p>
    <w:p w:rsidR="00152025" w:rsidRDefault="00152025" w:rsidP="003307A3">
      <w:pPr>
        <w:pStyle w:val="BodyText"/>
        <w:rPr>
          <w:rFonts w:asciiTheme="minorHAnsi" w:hAnsiTheme="minorHAnsi" w:cstheme="minorHAnsi"/>
          <w:b/>
          <w:i/>
          <w:sz w:val="24"/>
          <w:szCs w:val="24"/>
        </w:rPr>
      </w:pPr>
    </w:p>
    <w:p w:rsidR="00152025" w:rsidRDefault="003D55B0" w:rsidP="003307A3">
      <w:pPr>
        <w:pStyle w:val="BodyText"/>
        <w:rPr>
          <w:rFonts w:asciiTheme="minorHAnsi" w:hAnsiTheme="minorHAnsi" w:cstheme="minorHAnsi"/>
          <w:b/>
          <w:i/>
          <w:sz w:val="24"/>
          <w:szCs w:val="24"/>
        </w:rPr>
      </w:pPr>
      <w:r>
        <w:rPr>
          <w:rFonts w:asciiTheme="minorHAnsi" w:hAnsiTheme="minorHAnsi" w:cstheme="minorHAnsi"/>
          <w:b/>
          <w:i/>
          <w:sz w:val="24"/>
          <w:szCs w:val="24"/>
        </w:rPr>
        <w:lastRenderedPageBreak/>
        <w:t>Ramona Broussard</w:t>
      </w:r>
    </w:p>
    <w:p w:rsidR="003D55B0" w:rsidRPr="008A59A7" w:rsidRDefault="003D55B0" w:rsidP="003D55B0">
      <w:pPr>
        <w:spacing w:after="0" w:line="240" w:lineRule="auto"/>
        <w:rPr>
          <w:rFonts w:cstheme="minorHAnsi"/>
          <w:b/>
          <w:sz w:val="24"/>
          <w:szCs w:val="24"/>
        </w:rPr>
      </w:pPr>
      <w:r w:rsidRPr="008A59A7">
        <w:rPr>
          <w:rFonts w:cstheme="minorHAnsi"/>
          <w:b/>
          <w:sz w:val="24"/>
          <w:szCs w:val="24"/>
          <w:shd w:val="clear" w:color="auto" w:fill="FFFFFF"/>
        </w:rPr>
        <w:t>UTA 5.544</w:t>
      </w:r>
    </w:p>
    <w:p w:rsidR="003D55B0" w:rsidRPr="008A59A7" w:rsidRDefault="00335A9E" w:rsidP="003D55B0">
      <w:pPr>
        <w:spacing w:after="0" w:line="240" w:lineRule="auto"/>
        <w:rPr>
          <w:rFonts w:cstheme="minorHAnsi"/>
          <w:b/>
        </w:rPr>
        <w:sectPr w:rsidR="003D55B0" w:rsidRPr="008A59A7" w:rsidSect="00152025">
          <w:type w:val="continuous"/>
          <w:pgSz w:w="12240" w:h="15840"/>
          <w:pgMar w:top="1440" w:right="1440" w:bottom="1440" w:left="1440" w:header="720" w:footer="720" w:gutter="0"/>
          <w:cols w:num="2" w:space="720"/>
          <w:docGrid w:linePitch="360"/>
        </w:sectPr>
      </w:pPr>
      <w:hyperlink r:id="rId12" w:history="1">
        <w:r w:rsidR="003D55B0" w:rsidRPr="008A59A7">
          <w:rPr>
            <w:rStyle w:val="Hyperlink"/>
            <w:rFonts w:cstheme="minorHAnsi"/>
            <w:b/>
            <w:sz w:val="24"/>
            <w:szCs w:val="24"/>
          </w:rPr>
          <w:t>ramona@ischool.utexas.edu</w:t>
        </w:r>
      </w:hyperlink>
      <w:r w:rsidR="003D55B0" w:rsidRPr="008A59A7">
        <w:rPr>
          <w:rFonts w:cstheme="minorHAnsi"/>
          <w:b/>
        </w:rPr>
        <w:t> </w:t>
      </w:r>
    </w:p>
    <w:p w:rsidR="00152025" w:rsidRDefault="00152025" w:rsidP="003307A3">
      <w:pPr>
        <w:pStyle w:val="BodyText"/>
        <w:rPr>
          <w:rFonts w:asciiTheme="minorHAnsi" w:hAnsiTheme="minorHAnsi" w:cstheme="minorHAnsi"/>
          <w:b/>
          <w:i/>
          <w:sz w:val="24"/>
          <w:szCs w:val="24"/>
        </w:rPr>
      </w:pPr>
    </w:p>
    <w:p w:rsidR="00152025" w:rsidRDefault="00152025" w:rsidP="003307A3">
      <w:pPr>
        <w:pStyle w:val="BodyText"/>
        <w:rPr>
          <w:rFonts w:asciiTheme="minorHAnsi" w:hAnsiTheme="minorHAnsi" w:cstheme="minorHAnsi"/>
          <w:b/>
          <w:i/>
          <w:sz w:val="24"/>
          <w:szCs w:val="24"/>
        </w:rPr>
        <w:sectPr w:rsidR="00152025" w:rsidSect="00152025">
          <w:type w:val="continuous"/>
          <w:pgSz w:w="12240" w:h="15840"/>
          <w:pgMar w:top="1440" w:right="1440" w:bottom="1440" w:left="1440" w:header="720" w:footer="720" w:gutter="0"/>
          <w:cols w:space="720"/>
          <w:docGrid w:linePitch="360"/>
        </w:sectPr>
      </w:pPr>
    </w:p>
    <w:p w:rsidR="003307A3" w:rsidRPr="003307A3" w:rsidRDefault="003307A3" w:rsidP="003307A3">
      <w:pPr>
        <w:pStyle w:val="BodyText"/>
        <w:rPr>
          <w:rFonts w:asciiTheme="minorHAnsi" w:hAnsiTheme="minorHAnsi" w:cstheme="minorHAnsi"/>
          <w:b/>
          <w:i/>
          <w:sz w:val="24"/>
          <w:szCs w:val="24"/>
        </w:rPr>
      </w:pPr>
      <w:r w:rsidRPr="003307A3">
        <w:rPr>
          <w:rFonts w:asciiTheme="minorHAnsi" w:hAnsiTheme="minorHAnsi" w:cstheme="minorHAnsi"/>
          <w:b/>
          <w:i/>
          <w:sz w:val="24"/>
          <w:szCs w:val="24"/>
        </w:rPr>
        <w:lastRenderedPageBreak/>
        <w:t>Who Should Take This Course</w:t>
      </w:r>
    </w:p>
    <w:p w:rsidR="003307A3" w:rsidRPr="003307A3" w:rsidRDefault="00201858" w:rsidP="003307A3">
      <w:pPr>
        <w:pStyle w:val="BodyText"/>
        <w:rPr>
          <w:rFonts w:asciiTheme="minorHAnsi" w:hAnsiTheme="minorHAnsi" w:cstheme="minorHAnsi"/>
          <w:sz w:val="24"/>
          <w:szCs w:val="24"/>
        </w:rPr>
      </w:pPr>
      <w:r>
        <w:rPr>
          <w:rFonts w:asciiTheme="minorHAnsi" w:hAnsiTheme="minorHAnsi" w:cstheme="minorHAnsi"/>
          <w:sz w:val="24"/>
          <w:szCs w:val="24"/>
        </w:rPr>
        <w:t xml:space="preserve">I designed this course for doctoral students who want </w:t>
      </w:r>
      <w:r w:rsidR="003307A3" w:rsidRPr="003307A3">
        <w:rPr>
          <w:rFonts w:asciiTheme="minorHAnsi" w:hAnsiTheme="minorHAnsi" w:cstheme="minorHAnsi"/>
          <w:sz w:val="24"/>
          <w:szCs w:val="24"/>
        </w:rPr>
        <w:t xml:space="preserve">to </w:t>
      </w:r>
      <w:r w:rsidR="0008417C">
        <w:rPr>
          <w:rFonts w:asciiTheme="minorHAnsi" w:hAnsiTheme="minorHAnsi" w:cstheme="minorHAnsi"/>
          <w:sz w:val="24"/>
          <w:szCs w:val="24"/>
        </w:rPr>
        <w:t>gain</w:t>
      </w:r>
      <w:r w:rsidR="003307A3" w:rsidRPr="003307A3">
        <w:rPr>
          <w:rFonts w:asciiTheme="minorHAnsi" w:hAnsiTheme="minorHAnsi" w:cstheme="minorHAnsi"/>
          <w:sz w:val="24"/>
          <w:szCs w:val="24"/>
        </w:rPr>
        <w:t xml:space="preserve"> </w:t>
      </w:r>
      <w:r w:rsidR="0008417C">
        <w:rPr>
          <w:rFonts w:asciiTheme="minorHAnsi" w:hAnsiTheme="minorHAnsi" w:cstheme="minorHAnsi"/>
          <w:sz w:val="24"/>
          <w:szCs w:val="24"/>
        </w:rPr>
        <w:t xml:space="preserve">the skills and knowledge for </w:t>
      </w:r>
      <w:r w:rsidR="00A14A78">
        <w:rPr>
          <w:rFonts w:asciiTheme="minorHAnsi" w:hAnsiTheme="minorHAnsi" w:cstheme="minorHAnsi"/>
          <w:sz w:val="24"/>
          <w:szCs w:val="24"/>
        </w:rPr>
        <w:t>carry</w:t>
      </w:r>
      <w:r w:rsidR="003D55B0">
        <w:rPr>
          <w:rFonts w:asciiTheme="minorHAnsi" w:hAnsiTheme="minorHAnsi" w:cstheme="minorHAnsi"/>
          <w:sz w:val="24"/>
          <w:szCs w:val="24"/>
        </w:rPr>
        <w:t>ing</w:t>
      </w:r>
      <w:r w:rsidR="00A14A78">
        <w:rPr>
          <w:rFonts w:asciiTheme="minorHAnsi" w:hAnsiTheme="minorHAnsi" w:cstheme="minorHAnsi"/>
          <w:sz w:val="24"/>
          <w:szCs w:val="24"/>
        </w:rPr>
        <w:t xml:space="preserve"> out</w:t>
      </w:r>
      <w:r>
        <w:rPr>
          <w:rFonts w:asciiTheme="minorHAnsi" w:hAnsiTheme="minorHAnsi" w:cstheme="minorHAnsi"/>
          <w:sz w:val="24"/>
          <w:szCs w:val="24"/>
        </w:rPr>
        <w:t xml:space="preserve"> </w:t>
      </w:r>
      <w:r w:rsidR="00A14A78">
        <w:rPr>
          <w:rFonts w:asciiTheme="minorHAnsi" w:hAnsiTheme="minorHAnsi" w:cstheme="minorHAnsi"/>
          <w:sz w:val="24"/>
          <w:szCs w:val="24"/>
        </w:rPr>
        <w:t>ethnographic research</w:t>
      </w:r>
      <w:r>
        <w:rPr>
          <w:rFonts w:asciiTheme="minorHAnsi" w:hAnsiTheme="minorHAnsi" w:cstheme="minorHAnsi"/>
          <w:sz w:val="24"/>
          <w:szCs w:val="24"/>
        </w:rPr>
        <w:t xml:space="preserve"> and </w:t>
      </w:r>
      <w:r w:rsidR="0008417C">
        <w:rPr>
          <w:rFonts w:asciiTheme="minorHAnsi" w:hAnsiTheme="minorHAnsi" w:cstheme="minorHAnsi"/>
          <w:sz w:val="24"/>
          <w:szCs w:val="24"/>
        </w:rPr>
        <w:t xml:space="preserve">for </w:t>
      </w:r>
      <w:r w:rsidR="003D55B0">
        <w:rPr>
          <w:rFonts w:asciiTheme="minorHAnsi" w:hAnsiTheme="minorHAnsi" w:cstheme="minorHAnsi"/>
          <w:sz w:val="24"/>
          <w:szCs w:val="24"/>
        </w:rPr>
        <w:t>writing</w:t>
      </w:r>
      <w:r>
        <w:rPr>
          <w:rFonts w:asciiTheme="minorHAnsi" w:hAnsiTheme="minorHAnsi" w:cstheme="minorHAnsi"/>
          <w:sz w:val="24"/>
          <w:szCs w:val="24"/>
        </w:rPr>
        <w:t xml:space="preserve"> up their </w:t>
      </w:r>
      <w:r w:rsidR="0008417C">
        <w:rPr>
          <w:rFonts w:asciiTheme="minorHAnsi" w:hAnsiTheme="minorHAnsi" w:cstheme="minorHAnsi"/>
          <w:sz w:val="24"/>
          <w:szCs w:val="24"/>
        </w:rPr>
        <w:t>work</w:t>
      </w:r>
      <w:r>
        <w:rPr>
          <w:rFonts w:asciiTheme="minorHAnsi" w:hAnsiTheme="minorHAnsi" w:cstheme="minorHAnsi"/>
          <w:sz w:val="24"/>
          <w:szCs w:val="24"/>
        </w:rPr>
        <w:t xml:space="preserve"> for </w:t>
      </w:r>
      <w:r w:rsidR="00D819D6">
        <w:rPr>
          <w:rFonts w:asciiTheme="minorHAnsi" w:hAnsiTheme="minorHAnsi" w:cstheme="minorHAnsi"/>
          <w:sz w:val="24"/>
          <w:szCs w:val="24"/>
        </w:rPr>
        <w:t xml:space="preserve">successful </w:t>
      </w:r>
      <w:r>
        <w:rPr>
          <w:rFonts w:asciiTheme="minorHAnsi" w:hAnsiTheme="minorHAnsi" w:cstheme="minorHAnsi"/>
          <w:sz w:val="24"/>
          <w:szCs w:val="24"/>
        </w:rPr>
        <w:t xml:space="preserve">journal, conference, or monograph publication. The skills and knowledge that you will gain in this course are </w:t>
      </w:r>
      <w:r w:rsidR="00A14A78">
        <w:rPr>
          <w:rFonts w:asciiTheme="minorHAnsi" w:hAnsiTheme="minorHAnsi" w:cstheme="minorHAnsi"/>
          <w:sz w:val="24"/>
          <w:szCs w:val="24"/>
        </w:rPr>
        <w:t>independent of discipline; however,</w:t>
      </w:r>
      <w:r>
        <w:rPr>
          <w:rFonts w:asciiTheme="minorHAnsi" w:hAnsiTheme="minorHAnsi" w:cstheme="minorHAnsi"/>
          <w:sz w:val="24"/>
          <w:szCs w:val="24"/>
        </w:rPr>
        <w:t xml:space="preserve"> a number of the readings that I employ to illustrate concepts and steps are drawn </w:t>
      </w:r>
      <w:r w:rsidR="00A14A78">
        <w:rPr>
          <w:rFonts w:asciiTheme="minorHAnsi" w:hAnsiTheme="minorHAnsi" w:cstheme="minorHAnsi"/>
          <w:sz w:val="24"/>
          <w:szCs w:val="24"/>
        </w:rPr>
        <w:t xml:space="preserve">specifically </w:t>
      </w:r>
      <w:r>
        <w:rPr>
          <w:rFonts w:asciiTheme="minorHAnsi" w:hAnsiTheme="minorHAnsi" w:cstheme="minorHAnsi"/>
          <w:sz w:val="24"/>
          <w:szCs w:val="24"/>
        </w:rPr>
        <w:t>from the field</w:t>
      </w:r>
      <w:r w:rsidR="00750B76">
        <w:rPr>
          <w:rFonts w:asciiTheme="minorHAnsi" w:hAnsiTheme="minorHAnsi" w:cstheme="minorHAnsi"/>
          <w:sz w:val="24"/>
          <w:szCs w:val="24"/>
        </w:rPr>
        <w:t>s</w:t>
      </w:r>
      <w:r>
        <w:rPr>
          <w:rFonts w:asciiTheme="minorHAnsi" w:hAnsiTheme="minorHAnsi" w:cstheme="minorHAnsi"/>
          <w:sz w:val="24"/>
          <w:szCs w:val="24"/>
        </w:rPr>
        <w:t xml:space="preserve"> of information studies</w:t>
      </w:r>
      <w:r w:rsidR="00750B76">
        <w:rPr>
          <w:rFonts w:asciiTheme="minorHAnsi" w:hAnsiTheme="minorHAnsi" w:cstheme="minorHAnsi"/>
          <w:sz w:val="24"/>
          <w:szCs w:val="24"/>
        </w:rPr>
        <w:t xml:space="preserve"> and organization studies</w:t>
      </w:r>
      <w:r>
        <w:rPr>
          <w:rFonts w:asciiTheme="minorHAnsi" w:hAnsiTheme="minorHAnsi" w:cstheme="minorHAnsi"/>
          <w:sz w:val="24"/>
          <w:szCs w:val="24"/>
        </w:rPr>
        <w:t xml:space="preserve">. I welcome all students who are eager to </w:t>
      </w:r>
      <w:r w:rsidR="00F50AA9">
        <w:rPr>
          <w:rFonts w:asciiTheme="minorHAnsi" w:hAnsiTheme="minorHAnsi" w:cstheme="minorHAnsi"/>
          <w:sz w:val="24"/>
          <w:szCs w:val="24"/>
        </w:rPr>
        <w:t>understand</w:t>
      </w:r>
      <w:r w:rsidR="0008417C">
        <w:rPr>
          <w:rFonts w:asciiTheme="minorHAnsi" w:hAnsiTheme="minorHAnsi" w:cstheme="minorHAnsi"/>
          <w:sz w:val="24"/>
          <w:szCs w:val="24"/>
        </w:rPr>
        <w:t xml:space="preserve"> ethnography</w:t>
      </w:r>
      <w:r w:rsidR="00A14A78">
        <w:rPr>
          <w:rFonts w:asciiTheme="minorHAnsi" w:hAnsiTheme="minorHAnsi" w:cstheme="minorHAnsi"/>
          <w:sz w:val="24"/>
          <w:szCs w:val="24"/>
        </w:rPr>
        <w:t xml:space="preserve">, </w:t>
      </w:r>
      <w:r w:rsidR="0008417C">
        <w:rPr>
          <w:rFonts w:asciiTheme="minorHAnsi" w:hAnsiTheme="minorHAnsi" w:cstheme="minorHAnsi"/>
          <w:sz w:val="24"/>
          <w:szCs w:val="24"/>
        </w:rPr>
        <w:t xml:space="preserve">who are </w:t>
      </w:r>
      <w:r>
        <w:rPr>
          <w:rFonts w:asciiTheme="minorHAnsi" w:hAnsiTheme="minorHAnsi" w:cstheme="minorHAnsi"/>
          <w:sz w:val="24"/>
          <w:szCs w:val="24"/>
        </w:rPr>
        <w:t>willing to work hard</w:t>
      </w:r>
      <w:r w:rsidR="0008417C">
        <w:rPr>
          <w:rFonts w:asciiTheme="minorHAnsi" w:hAnsiTheme="minorHAnsi" w:cstheme="minorHAnsi"/>
          <w:sz w:val="24"/>
          <w:szCs w:val="24"/>
        </w:rPr>
        <w:t xml:space="preserve"> to learn their craft</w:t>
      </w:r>
      <w:r w:rsidR="00A14A78">
        <w:rPr>
          <w:rFonts w:asciiTheme="minorHAnsi" w:hAnsiTheme="minorHAnsi" w:cstheme="minorHAnsi"/>
          <w:sz w:val="24"/>
          <w:szCs w:val="24"/>
        </w:rPr>
        <w:t xml:space="preserve">, and </w:t>
      </w:r>
      <w:r w:rsidR="0008417C">
        <w:rPr>
          <w:rFonts w:asciiTheme="minorHAnsi" w:hAnsiTheme="minorHAnsi" w:cstheme="minorHAnsi"/>
          <w:sz w:val="24"/>
          <w:szCs w:val="24"/>
        </w:rPr>
        <w:t>who can</w:t>
      </w:r>
      <w:r w:rsidR="00A14A78">
        <w:rPr>
          <w:rFonts w:asciiTheme="minorHAnsi" w:hAnsiTheme="minorHAnsi" w:cstheme="minorHAnsi"/>
          <w:sz w:val="24"/>
          <w:szCs w:val="24"/>
        </w:rPr>
        <w:t xml:space="preserve"> </w:t>
      </w:r>
      <w:r w:rsidR="0008417C">
        <w:rPr>
          <w:rFonts w:asciiTheme="minorHAnsi" w:hAnsiTheme="minorHAnsi" w:cstheme="minorHAnsi"/>
          <w:sz w:val="24"/>
          <w:szCs w:val="24"/>
        </w:rPr>
        <w:t>work cooperatively</w:t>
      </w:r>
      <w:r w:rsidR="00A14A78">
        <w:rPr>
          <w:rFonts w:asciiTheme="minorHAnsi" w:hAnsiTheme="minorHAnsi" w:cstheme="minorHAnsi"/>
          <w:sz w:val="24"/>
          <w:szCs w:val="24"/>
        </w:rPr>
        <w:t xml:space="preserve"> in a group </w:t>
      </w:r>
      <w:r w:rsidR="0008417C">
        <w:rPr>
          <w:rFonts w:asciiTheme="minorHAnsi" w:hAnsiTheme="minorHAnsi" w:cstheme="minorHAnsi"/>
          <w:sz w:val="24"/>
          <w:szCs w:val="24"/>
        </w:rPr>
        <w:t>learning experience</w:t>
      </w:r>
      <w:r>
        <w:rPr>
          <w:rFonts w:asciiTheme="minorHAnsi" w:hAnsiTheme="minorHAnsi" w:cstheme="minorHAnsi"/>
          <w:sz w:val="24"/>
          <w:szCs w:val="24"/>
        </w:rPr>
        <w:t>.</w:t>
      </w:r>
    </w:p>
    <w:p w:rsidR="003307A3" w:rsidRPr="003307A3" w:rsidRDefault="00A14A78" w:rsidP="003F2F8A">
      <w:pPr>
        <w:pStyle w:val="BodyText"/>
        <w:spacing w:before="120" w:after="200" w:line="276" w:lineRule="auto"/>
        <w:jc w:val="center"/>
        <w:rPr>
          <w:rFonts w:asciiTheme="minorHAnsi" w:hAnsiTheme="minorHAnsi" w:cstheme="minorHAnsi"/>
          <w:b/>
          <w:sz w:val="28"/>
          <w:szCs w:val="28"/>
        </w:rPr>
      </w:pPr>
      <w:r>
        <w:rPr>
          <w:rFonts w:asciiTheme="minorHAnsi" w:hAnsiTheme="minorHAnsi" w:cstheme="minorHAnsi"/>
          <w:b/>
          <w:sz w:val="28"/>
          <w:szCs w:val="28"/>
        </w:rPr>
        <w:t>Learning Outcomes</w:t>
      </w:r>
    </w:p>
    <w:p w:rsidR="003307A3" w:rsidRDefault="00A14A78" w:rsidP="003307A3">
      <w:pPr>
        <w:pStyle w:val="BodyText"/>
        <w:rPr>
          <w:rFonts w:asciiTheme="minorHAnsi" w:hAnsiTheme="minorHAnsi" w:cstheme="minorHAnsi"/>
          <w:sz w:val="24"/>
          <w:szCs w:val="24"/>
        </w:rPr>
      </w:pPr>
      <w:r>
        <w:rPr>
          <w:rFonts w:asciiTheme="minorHAnsi" w:hAnsiTheme="minorHAnsi" w:cstheme="minorHAnsi"/>
          <w:sz w:val="24"/>
          <w:szCs w:val="24"/>
        </w:rPr>
        <w:t>When I say that you will learn the skills of ethnographic research, I mean in particular that you will learn how to:</w:t>
      </w:r>
    </w:p>
    <w:p w:rsidR="00A14A78" w:rsidRPr="003307A3" w:rsidRDefault="00A14A78" w:rsidP="003307A3">
      <w:pPr>
        <w:pStyle w:val="BodyText"/>
        <w:rPr>
          <w:rFonts w:asciiTheme="minorHAnsi" w:hAnsiTheme="minorHAnsi" w:cstheme="minorHAnsi"/>
          <w:sz w:val="24"/>
          <w:szCs w:val="24"/>
        </w:rPr>
      </w:pPr>
    </w:p>
    <w:p w:rsidR="00A14A78" w:rsidRDefault="00A14A78" w:rsidP="00A14A78">
      <w:pPr>
        <w:pStyle w:val="BodyText"/>
        <w:numPr>
          <w:ilvl w:val="0"/>
          <w:numId w:val="7"/>
        </w:numPr>
        <w:rPr>
          <w:rFonts w:asciiTheme="minorHAnsi" w:hAnsiTheme="minorHAnsi" w:cstheme="minorHAnsi"/>
          <w:sz w:val="24"/>
          <w:szCs w:val="24"/>
        </w:rPr>
        <w:sectPr w:rsidR="00A14A78" w:rsidSect="00152025">
          <w:type w:val="continuous"/>
          <w:pgSz w:w="12240" w:h="15840"/>
          <w:pgMar w:top="1440" w:right="1440" w:bottom="1440" w:left="1440" w:header="720" w:footer="720" w:gutter="0"/>
          <w:cols w:space="720"/>
          <w:docGrid w:linePitch="360"/>
        </w:sectPr>
      </w:pPr>
    </w:p>
    <w:p w:rsidR="00D819D6" w:rsidRDefault="00D819D6" w:rsidP="00D819D6">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Design an Ethnographic Study</w:t>
      </w:r>
    </w:p>
    <w:p w:rsidR="00D819D6" w:rsidRDefault="00D819D6" w:rsidP="00D819D6">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Select Sites</w:t>
      </w:r>
    </w:p>
    <w:p w:rsidR="00D819D6" w:rsidRDefault="00D819D6" w:rsidP="00D819D6">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Negotiate Access</w:t>
      </w:r>
    </w:p>
    <w:p w:rsidR="003307A3" w:rsidRDefault="00F50AA9"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Conduct O</w:t>
      </w:r>
      <w:r w:rsidR="00A14A78">
        <w:rPr>
          <w:rFonts w:asciiTheme="minorHAnsi" w:hAnsiTheme="minorHAnsi" w:cstheme="minorHAnsi"/>
          <w:sz w:val="24"/>
          <w:szCs w:val="24"/>
        </w:rPr>
        <w:t>bservations</w:t>
      </w:r>
    </w:p>
    <w:p w:rsidR="00A14A78" w:rsidRDefault="00F50AA9"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Conduct </w:t>
      </w:r>
      <w:r w:rsidR="00D819D6">
        <w:rPr>
          <w:rFonts w:asciiTheme="minorHAnsi" w:hAnsiTheme="minorHAnsi" w:cstheme="minorHAnsi"/>
          <w:sz w:val="24"/>
          <w:szCs w:val="24"/>
        </w:rPr>
        <w:t xml:space="preserve">Semi-Structured </w:t>
      </w:r>
      <w:r>
        <w:rPr>
          <w:rFonts w:asciiTheme="minorHAnsi" w:hAnsiTheme="minorHAnsi" w:cstheme="minorHAnsi"/>
          <w:sz w:val="24"/>
          <w:szCs w:val="24"/>
        </w:rPr>
        <w:t>I</w:t>
      </w:r>
      <w:r w:rsidR="00A14A78">
        <w:rPr>
          <w:rFonts w:asciiTheme="minorHAnsi" w:hAnsiTheme="minorHAnsi" w:cstheme="minorHAnsi"/>
          <w:sz w:val="24"/>
          <w:szCs w:val="24"/>
        </w:rPr>
        <w:t>nterviews</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Manage Data</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Code Fieldnotes and Transcripts</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Employ Qualitative Analysis Software</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Write Memos</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lastRenderedPageBreak/>
        <w:t>Uncover Themes</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Move from Description to Analysis</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Build Grounded Theory</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Manage Presence and Relationships</w:t>
      </w:r>
    </w:p>
    <w:p w:rsidR="00A14A78" w:rsidRDefault="00C77034"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Determine</w:t>
      </w:r>
      <w:r w:rsidR="00A14A78">
        <w:rPr>
          <w:rFonts w:asciiTheme="minorHAnsi" w:hAnsiTheme="minorHAnsi" w:cstheme="minorHAnsi"/>
          <w:sz w:val="24"/>
          <w:szCs w:val="24"/>
        </w:rPr>
        <w:t xml:space="preserve"> When to Leave the Field</w:t>
      </w:r>
    </w:p>
    <w:p w:rsidR="007475C2"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Speak to a Literature/</w:t>
      </w:r>
      <w:r w:rsidR="007475C2">
        <w:rPr>
          <w:rFonts w:asciiTheme="minorHAnsi" w:hAnsiTheme="minorHAnsi" w:cstheme="minorHAnsi"/>
          <w:sz w:val="24"/>
          <w:szCs w:val="24"/>
        </w:rPr>
        <w:t>Community</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Frame Your Study</w:t>
      </w:r>
    </w:p>
    <w:p w:rsidR="00A14A78"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Ensure</w:t>
      </w:r>
      <w:r w:rsidR="007475C2">
        <w:rPr>
          <w:rFonts w:asciiTheme="minorHAnsi" w:hAnsiTheme="minorHAnsi" w:cstheme="minorHAnsi"/>
          <w:sz w:val="24"/>
          <w:szCs w:val="24"/>
        </w:rPr>
        <w:t xml:space="preserve"> and Convey</w:t>
      </w:r>
      <w:r>
        <w:rPr>
          <w:rFonts w:asciiTheme="minorHAnsi" w:hAnsiTheme="minorHAnsi" w:cstheme="minorHAnsi"/>
          <w:sz w:val="24"/>
          <w:szCs w:val="24"/>
        </w:rPr>
        <w:t xml:space="preserve"> Rigor and Validity</w:t>
      </w:r>
    </w:p>
    <w:p w:rsidR="00A14A78" w:rsidRPr="003307A3" w:rsidRDefault="00A14A78" w:rsidP="00A14A78">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Write Up and Present Your Results</w:t>
      </w:r>
    </w:p>
    <w:p w:rsidR="00A14A78" w:rsidRDefault="00A14A78" w:rsidP="003307A3">
      <w:pPr>
        <w:pStyle w:val="BodyText"/>
        <w:rPr>
          <w:rFonts w:asciiTheme="minorHAnsi" w:hAnsiTheme="minorHAnsi" w:cstheme="minorHAnsi"/>
          <w:sz w:val="24"/>
          <w:szCs w:val="24"/>
        </w:rPr>
        <w:sectPr w:rsidR="00A14A78" w:rsidSect="00A14A78">
          <w:type w:val="continuous"/>
          <w:pgSz w:w="12240" w:h="15840"/>
          <w:pgMar w:top="1440" w:right="1440" w:bottom="1440" w:left="1440" w:header="720" w:footer="720" w:gutter="0"/>
          <w:cols w:num="2" w:space="720"/>
          <w:docGrid w:linePitch="360"/>
        </w:sectPr>
      </w:pPr>
    </w:p>
    <w:p w:rsidR="003307A3" w:rsidRPr="003307A3" w:rsidRDefault="003307A3" w:rsidP="003307A3">
      <w:pPr>
        <w:pStyle w:val="BodyText"/>
        <w:rPr>
          <w:rFonts w:asciiTheme="minorHAnsi" w:hAnsiTheme="minorHAnsi" w:cstheme="minorHAnsi"/>
          <w:sz w:val="24"/>
          <w:szCs w:val="24"/>
        </w:rPr>
      </w:pPr>
    </w:p>
    <w:p w:rsidR="003307A3" w:rsidRPr="003307A3" w:rsidRDefault="009358A9" w:rsidP="003F2F8A">
      <w:pPr>
        <w:spacing w:before="120"/>
        <w:jc w:val="center"/>
        <w:rPr>
          <w:rFonts w:cstheme="minorHAnsi"/>
          <w:b/>
          <w:sz w:val="28"/>
          <w:szCs w:val="28"/>
        </w:rPr>
      </w:pPr>
      <w:r>
        <w:rPr>
          <w:rFonts w:cstheme="minorHAnsi"/>
          <w:b/>
          <w:sz w:val="28"/>
          <w:szCs w:val="28"/>
        </w:rPr>
        <w:t>Overview</w:t>
      </w:r>
    </w:p>
    <w:p w:rsidR="00AB5FAF" w:rsidRPr="00B206A0" w:rsidRDefault="00E6162B" w:rsidP="00B206A0">
      <w:pPr>
        <w:spacing w:line="240" w:lineRule="auto"/>
        <w:rPr>
          <w:rFonts w:cstheme="minorHAnsi"/>
          <w:sz w:val="24"/>
          <w:szCs w:val="24"/>
        </w:rPr>
      </w:pPr>
      <w:r w:rsidRPr="00B206A0">
        <w:rPr>
          <w:rFonts w:cstheme="minorHAnsi"/>
          <w:sz w:val="24"/>
          <w:szCs w:val="24"/>
        </w:rPr>
        <w:t xml:space="preserve">In its purest sense, ethnography is about the study of culture. Specifically, ethnography rests upon the notion that one can, as John Van Maanen wrote in </w:t>
      </w:r>
      <w:r w:rsidRPr="00B206A0">
        <w:rPr>
          <w:rFonts w:cstheme="minorHAnsi"/>
          <w:i/>
          <w:sz w:val="24"/>
          <w:szCs w:val="24"/>
        </w:rPr>
        <w:t>Tales of the Field</w:t>
      </w:r>
      <w:r w:rsidRPr="00B206A0">
        <w:rPr>
          <w:rFonts w:cstheme="minorHAnsi"/>
          <w:sz w:val="24"/>
          <w:szCs w:val="24"/>
        </w:rPr>
        <w:t xml:space="preserve">, represent “the social reality of others through the analysis of one’s own experience in the world of these others” (p. ix). </w:t>
      </w:r>
      <w:r w:rsidR="00E00B02" w:rsidRPr="00B206A0">
        <w:rPr>
          <w:rFonts w:cstheme="minorHAnsi"/>
          <w:sz w:val="24"/>
          <w:szCs w:val="24"/>
        </w:rPr>
        <w:t xml:space="preserve">Today, with </w:t>
      </w:r>
      <w:r w:rsidRPr="00B206A0">
        <w:rPr>
          <w:rFonts w:cstheme="minorHAnsi"/>
          <w:sz w:val="24"/>
          <w:szCs w:val="24"/>
        </w:rPr>
        <w:t>scholars carry</w:t>
      </w:r>
      <w:r w:rsidR="00E00B02" w:rsidRPr="00B206A0">
        <w:rPr>
          <w:rFonts w:cstheme="minorHAnsi"/>
          <w:sz w:val="24"/>
          <w:szCs w:val="24"/>
        </w:rPr>
        <w:t>ing</w:t>
      </w:r>
      <w:r w:rsidRPr="00B206A0">
        <w:rPr>
          <w:rFonts w:cstheme="minorHAnsi"/>
          <w:sz w:val="24"/>
          <w:szCs w:val="24"/>
        </w:rPr>
        <w:t xml:space="preserve"> out ethnography in myriad disciplines beyond </w:t>
      </w:r>
      <w:r w:rsidR="00D819D6" w:rsidRPr="00B206A0">
        <w:rPr>
          <w:rFonts w:cstheme="minorHAnsi"/>
          <w:sz w:val="24"/>
          <w:szCs w:val="24"/>
        </w:rPr>
        <w:t xml:space="preserve">its </w:t>
      </w:r>
      <w:r w:rsidRPr="00B206A0">
        <w:rPr>
          <w:rFonts w:cstheme="minorHAnsi"/>
          <w:sz w:val="24"/>
          <w:szCs w:val="24"/>
        </w:rPr>
        <w:lastRenderedPageBreak/>
        <w:t>anthropology</w:t>
      </w:r>
      <w:r w:rsidR="00D819D6" w:rsidRPr="00B206A0">
        <w:rPr>
          <w:rFonts w:cstheme="minorHAnsi"/>
          <w:sz w:val="24"/>
          <w:szCs w:val="24"/>
        </w:rPr>
        <w:t xml:space="preserve"> </w:t>
      </w:r>
      <w:r w:rsidR="007C1BC9" w:rsidRPr="00B206A0">
        <w:rPr>
          <w:rFonts w:cstheme="minorHAnsi"/>
          <w:sz w:val="24"/>
          <w:szCs w:val="24"/>
        </w:rPr>
        <w:t>origin</w:t>
      </w:r>
      <w:r w:rsidRPr="00B206A0">
        <w:rPr>
          <w:rFonts w:cstheme="minorHAnsi"/>
          <w:sz w:val="24"/>
          <w:szCs w:val="24"/>
        </w:rPr>
        <w:t xml:space="preserve">, the focus of ethnography has </w:t>
      </w:r>
      <w:r w:rsidR="00D819D6" w:rsidRPr="00B206A0">
        <w:rPr>
          <w:rFonts w:cstheme="minorHAnsi"/>
          <w:sz w:val="24"/>
          <w:szCs w:val="24"/>
        </w:rPr>
        <w:t>moved</w:t>
      </w:r>
      <w:r w:rsidRPr="00B206A0">
        <w:rPr>
          <w:rFonts w:cstheme="minorHAnsi"/>
          <w:sz w:val="24"/>
          <w:szCs w:val="24"/>
        </w:rPr>
        <w:t xml:space="preserve"> beyond purely cultural concerns. For example, students of technology and work employ ethnographic techniques to study the interplay between technology use and the routines and practices that emerge in everyday tasks in organizations. Although some of these scholars maintain an interest in cultural aspects of that interplay, not all do. </w:t>
      </w:r>
      <w:r w:rsidR="005132C4" w:rsidRPr="00B206A0">
        <w:rPr>
          <w:rFonts w:cstheme="minorHAnsi"/>
          <w:sz w:val="24"/>
          <w:szCs w:val="24"/>
        </w:rPr>
        <w:t xml:space="preserve">Hence, I will </w:t>
      </w:r>
      <w:r w:rsidR="00E00B02" w:rsidRPr="00B206A0">
        <w:rPr>
          <w:rFonts w:cstheme="minorHAnsi"/>
          <w:sz w:val="24"/>
          <w:szCs w:val="24"/>
        </w:rPr>
        <w:t>operate</w:t>
      </w:r>
      <w:r w:rsidR="005132C4" w:rsidRPr="00B206A0">
        <w:rPr>
          <w:rFonts w:cstheme="minorHAnsi"/>
          <w:sz w:val="24"/>
          <w:szCs w:val="24"/>
        </w:rPr>
        <w:t xml:space="preserve"> in this course </w:t>
      </w:r>
      <w:r w:rsidR="00E00B02" w:rsidRPr="00B206A0">
        <w:rPr>
          <w:rFonts w:cstheme="minorHAnsi"/>
          <w:sz w:val="24"/>
          <w:szCs w:val="24"/>
        </w:rPr>
        <w:t>with</w:t>
      </w:r>
      <w:r w:rsidR="005132C4" w:rsidRPr="00B206A0">
        <w:rPr>
          <w:rFonts w:cstheme="minorHAnsi"/>
          <w:sz w:val="24"/>
          <w:szCs w:val="24"/>
        </w:rPr>
        <w:t xml:space="preserve"> a broad conception of what ethnography is or can be. </w:t>
      </w:r>
    </w:p>
    <w:p w:rsidR="003F2F8A" w:rsidRPr="00B206A0" w:rsidRDefault="005132C4" w:rsidP="00B206A0">
      <w:pPr>
        <w:spacing w:line="240" w:lineRule="auto"/>
        <w:rPr>
          <w:rFonts w:cstheme="minorHAnsi"/>
          <w:sz w:val="24"/>
          <w:szCs w:val="24"/>
        </w:rPr>
      </w:pPr>
      <w:r w:rsidRPr="00B206A0">
        <w:rPr>
          <w:rFonts w:cstheme="minorHAnsi"/>
          <w:sz w:val="24"/>
          <w:szCs w:val="24"/>
        </w:rPr>
        <w:t xml:space="preserve">At the core of this conception </w:t>
      </w:r>
      <w:r w:rsidR="00D819D6" w:rsidRPr="00B206A0">
        <w:rPr>
          <w:rFonts w:cstheme="minorHAnsi"/>
          <w:sz w:val="24"/>
          <w:szCs w:val="24"/>
        </w:rPr>
        <w:t>lies the idea that</w:t>
      </w:r>
      <w:r w:rsidRPr="00B206A0">
        <w:rPr>
          <w:rFonts w:cstheme="minorHAnsi"/>
          <w:sz w:val="24"/>
          <w:szCs w:val="24"/>
        </w:rPr>
        <w:t xml:space="preserve"> the researcher when conducting ethnography enters the field open to all experiences and seeks to </w:t>
      </w:r>
      <w:r w:rsidR="00C27D82" w:rsidRPr="00B206A0">
        <w:rPr>
          <w:rFonts w:cstheme="minorHAnsi"/>
          <w:sz w:val="24"/>
          <w:szCs w:val="24"/>
        </w:rPr>
        <w:t>record</w:t>
      </w:r>
      <w:r w:rsidRPr="00B206A0">
        <w:rPr>
          <w:rFonts w:cstheme="minorHAnsi"/>
          <w:sz w:val="24"/>
          <w:szCs w:val="24"/>
        </w:rPr>
        <w:t xml:space="preserve"> </w:t>
      </w:r>
      <w:r w:rsidR="00C27D82" w:rsidRPr="00B206A0">
        <w:rPr>
          <w:rFonts w:cstheme="minorHAnsi"/>
          <w:sz w:val="24"/>
          <w:szCs w:val="24"/>
        </w:rPr>
        <w:t>them</w:t>
      </w:r>
      <w:r w:rsidRPr="00B206A0">
        <w:rPr>
          <w:rFonts w:cstheme="minorHAnsi"/>
          <w:sz w:val="24"/>
          <w:szCs w:val="24"/>
        </w:rPr>
        <w:t xml:space="preserve"> </w:t>
      </w:r>
      <w:r w:rsidR="00C27D82" w:rsidRPr="00B206A0">
        <w:rPr>
          <w:rFonts w:cstheme="minorHAnsi"/>
          <w:sz w:val="24"/>
          <w:szCs w:val="24"/>
        </w:rPr>
        <w:t>with a keen eye for detail</w:t>
      </w:r>
      <w:r w:rsidRPr="00B206A0">
        <w:rPr>
          <w:rFonts w:cstheme="minorHAnsi"/>
          <w:sz w:val="24"/>
          <w:szCs w:val="24"/>
        </w:rPr>
        <w:t xml:space="preserve">. </w:t>
      </w:r>
      <w:r w:rsidR="00E00B02" w:rsidRPr="00B206A0">
        <w:rPr>
          <w:rFonts w:cstheme="minorHAnsi"/>
          <w:sz w:val="24"/>
          <w:szCs w:val="24"/>
        </w:rPr>
        <w:t>Hence</w:t>
      </w:r>
      <w:r w:rsidRPr="00B206A0">
        <w:rPr>
          <w:rFonts w:cstheme="minorHAnsi"/>
          <w:sz w:val="24"/>
          <w:szCs w:val="24"/>
        </w:rPr>
        <w:t xml:space="preserve">, the researcher pays attention to and records </w:t>
      </w:r>
      <w:r w:rsidR="00D819D6" w:rsidRPr="00B206A0">
        <w:rPr>
          <w:rFonts w:cstheme="minorHAnsi"/>
          <w:sz w:val="24"/>
          <w:szCs w:val="24"/>
        </w:rPr>
        <w:t>even seemingly mundane</w:t>
      </w:r>
      <w:r w:rsidR="00C27D82" w:rsidRPr="00B206A0">
        <w:rPr>
          <w:rFonts w:cstheme="minorHAnsi"/>
          <w:sz w:val="24"/>
          <w:szCs w:val="24"/>
        </w:rPr>
        <w:t xml:space="preserve"> speech, action</w:t>
      </w:r>
      <w:r w:rsidRPr="00B206A0">
        <w:rPr>
          <w:rFonts w:cstheme="minorHAnsi"/>
          <w:sz w:val="24"/>
          <w:szCs w:val="24"/>
        </w:rPr>
        <w:t xml:space="preserve">, </w:t>
      </w:r>
      <w:r w:rsidR="00C27D82" w:rsidRPr="00B206A0">
        <w:rPr>
          <w:rFonts w:cstheme="minorHAnsi"/>
          <w:sz w:val="24"/>
          <w:szCs w:val="24"/>
        </w:rPr>
        <w:t xml:space="preserve">and environment, </w:t>
      </w:r>
      <w:r w:rsidR="00AB5FAF" w:rsidRPr="00B206A0">
        <w:rPr>
          <w:rFonts w:cstheme="minorHAnsi"/>
          <w:sz w:val="24"/>
          <w:szCs w:val="24"/>
        </w:rPr>
        <w:t xml:space="preserve">allows the informant a </w:t>
      </w:r>
      <w:r w:rsidR="00E00B02" w:rsidRPr="00B206A0">
        <w:rPr>
          <w:rFonts w:cstheme="minorHAnsi"/>
          <w:sz w:val="24"/>
          <w:szCs w:val="24"/>
        </w:rPr>
        <w:t>good deal</w:t>
      </w:r>
      <w:r w:rsidR="00AB5FAF" w:rsidRPr="00B206A0">
        <w:rPr>
          <w:rFonts w:cstheme="minorHAnsi"/>
          <w:sz w:val="24"/>
          <w:szCs w:val="24"/>
        </w:rPr>
        <w:t xml:space="preserve"> of leeway in </w:t>
      </w:r>
      <w:r w:rsidR="00E00B02" w:rsidRPr="00B206A0">
        <w:rPr>
          <w:rFonts w:cstheme="minorHAnsi"/>
          <w:sz w:val="24"/>
          <w:szCs w:val="24"/>
        </w:rPr>
        <w:t>shaping</w:t>
      </w:r>
      <w:r w:rsidR="00AB5FAF" w:rsidRPr="00B206A0">
        <w:rPr>
          <w:rFonts w:cstheme="minorHAnsi"/>
          <w:sz w:val="24"/>
          <w:szCs w:val="24"/>
        </w:rPr>
        <w:t xml:space="preserve"> the course of </w:t>
      </w:r>
      <w:r w:rsidR="00E00B02" w:rsidRPr="00B206A0">
        <w:rPr>
          <w:rFonts w:cstheme="minorHAnsi"/>
          <w:sz w:val="24"/>
          <w:szCs w:val="24"/>
        </w:rPr>
        <w:t>the inquiry</w:t>
      </w:r>
      <w:r w:rsidRPr="00B206A0">
        <w:rPr>
          <w:rFonts w:cstheme="minorHAnsi"/>
          <w:sz w:val="24"/>
          <w:szCs w:val="24"/>
        </w:rPr>
        <w:t xml:space="preserve">, and spends an inordinate amount of time reflecting on </w:t>
      </w:r>
      <w:r w:rsidR="007C1BC9" w:rsidRPr="00B206A0">
        <w:rPr>
          <w:rFonts w:cstheme="minorHAnsi"/>
          <w:sz w:val="24"/>
          <w:szCs w:val="24"/>
        </w:rPr>
        <w:t>that data</w:t>
      </w:r>
      <w:r w:rsidRPr="00B206A0">
        <w:rPr>
          <w:rFonts w:cstheme="minorHAnsi"/>
          <w:sz w:val="24"/>
          <w:szCs w:val="24"/>
        </w:rPr>
        <w:t>. Through techniques of observation and interview and at times participation, the researcher comes to understand the world under study</w:t>
      </w:r>
      <w:r w:rsidR="007C1BC9" w:rsidRPr="00B206A0">
        <w:rPr>
          <w:rFonts w:cstheme="minorHAnsi"/>
          <w:sz w:val="24"/>
          <w:szCs w:val="24"/>
        </w:rPr>
        <w:t xml:space="preserve"> and begins to sense the stories that the data seem capable of telling</w:t>
      </w:r>
      <w:r w:rsidRPr="00B206A0">
        <w:rPr>
          <w:rFonts w:cstheme="minorHAnsi"/>
          <w:sz w:val="24"/>
          <w:szCs w:val="24"/>
        </w:rPr>
        <w:t xml:space="preserve">. </w:t>
      </w:r>
      <w:r w:rsidR="007C1BC9" w:rsidRPr="00B206A0">
        <w:rPr>
          <w:rFonts w:cstheme="minorHAnsi"/>
          <w:sz w:val="24"/>
          <w:szCs w:val="24"/>
        </w:rPr>
        <w:t>At this point, t</w:t>
      </w:r>
      <w:r w:rsidR="00C27D82" w:rsidRPr="00B206A0">
        <w:rPr>
          <w:rFonts w:cstheme="minorHAnsi"/>
          <w:sz w:val="24"/>
          <w:szCs w:val="24"/>
        </w:rPr>
        <w:t>he researcher often returns to the field to re-examine particular situations or events to confirm or disconfirm</w:t>
      </w:r>
      <w:r w:rsidRPr="00B206A0">
        <w:rPr>
          <w:rFonts w:cstheme="minorHAnsi"/>
          <w:sz w:val="24"/>
          <w:szCs w:val="24"/>
        </w:rPr>
        <w:t xml:space="preserve"> </w:t>
      </w:r>
      <w:r w:rsidR="00C27D82" w:rsidRPr="00B206A0">
        <w:rPr>
          <w:rFonts w:cstheme="minorHAnsi"/>
          <w:sz w:val="24"/>
          <w:szCs w:val="24"/>
        </w:rPr>
        <w:t>emerging understandings.</w:t>
      </w:r>
      <w:r w:rsidRPr="00B206A0">
        <w:rPr>
          <w:rFonts w:cstheme="minorHAnsi"/>
          <w:sz w:val="24"/>
          <w:szCs w:val="24"/>
        </w:rPr>
        <w:t xml:space="preserve"> </w:t>
      </w:r>
      <w:r w:rsidR="00AB5FAF" w:rsidRPr="00B206A0">
        <w:rPr>
          <w:rFonts w:cstheme="minorHAnsi"/>
          <w:sz w:val="24"/>
          <w:szCs w:val="24"/>
        </w:rPr>
        <w:t xml:space="preserve">This process takes time, and </w:t>
      </w:r>
      <w:r w:rsidR="00E00B02" w:rsidRPr="00B206A0">
        <w:rPr>
          <w:rFonts w:cstheme="minorHAnsi"/>
          <w:sz w:val="24"/>
          <w:szCs w:val="24"/>
        </w:rPr>
        <w:t>we</w:t>
      </w:r>
      <w:r w:rsidR="00AB5FAF" w:rsidRPr="00B206A0">
        <w:rPr>
          <w:rFonts w:cstheme="minorHAnsi"/>
          <w:sz w:val="24"/>
          <w:szCs w:val="24"/>
        </w:rPr>
        <w:t xml:space="preserve"> rush it at </w:t>
      </w:r>
      <w:r w:rsidR="00E00B02" w:rsidRPr="00B206A0">
        <w:rPr>
          <w:rFonts w:cstheme="minorHAnsi"/>
          <w:sz w:val="24"/>
          <w:szCs w:val="24"/>
        </w:rPr>
        <w:t>our</w:t>
      </w:r>
      <w:r w:rsidR="00AB5FAF" w:rsidRPr="00B206A0">
        <w:rPr>
          <w:rFonts w:cstheme="minorHAnsi"/>
          <w:sz w:val="24"/>
          <w:szCs w:val="24"/>
        </w:rPr>
        <w:t xml:space="preserve"> peril. Why, then, do we pursue it?</w:t>
      </w:r>
    </w:p>
    <w:p w:rsidR="00AB5FAF" w:rsidRPr="00B206A0" w:rsidRDefault="00AB5FAF" w:rsidP="00B206A0">
      <w:pPr>
        <w:spacing w:line="240" w:lineRule="auto"/>
        <w:rPr>
          <w:rFonts w:cstheme="minorHAnsi"/>
          <w:sz w:val="24"/>
          <w:szCs w:val="24"/>
        </w:rPr>
      </w:pPr>
      <w:r w:rsidRPr="00B206A0">
        <w:rPr>
          <w:rFonts w:cstheme="minorHAnsi"/>
          <w:sz w:val="24"/>
          <w:szCs w:val="24"/>
        </w:rPr>
        <w:t xml:space="preserve">We pursue ethnography because it yields what Geertz (1973) termed “thick description;” rich detail that informs </w:t>
      </w:r>
      <w:r w:rsidR="00E00B02" w:rsidRPr="00B206A0">
        <w:rPr>
          <w:rFonts w:cstheme="minorHAnsi"/>
          <w:sz w:val="24"/>
          <w:szCs w:val="24"/>
        </w:rPr>
        <w:t xml:space="preserve">our </w:t>
      </w:r>
      <w:r w:rsidRPr="00B206A0">
        <w:rPr>
          <w:rFonts w:cstheme="minorHAnsi"/>
          <w:sz w:val="24"/>
          <w:szCs w:val="24"/>
        </w:rPr>
        <w:t xml:space="preserve">understanding of people, places, processes, </w:t>
      </w:r>
      <w:r w:rsidR="00C27D82" w:rsidRPr="00B206A0">
        <w:rPr>
          <w:rFonts w:cstheme="minorHAnsi"/>
          <w:sz w:val="24"/>
          <w:szCs w:val="24"/>
        </w:rPr>
        <w:t>objects, and ideas</w:t>
      </w:r>
      <w:r w:rsidRPr="00B206A0">
        <w:rPr>
          <w:rFonts w:cstheme="minorHAnsi"/>
          <w:sz w:val="24"/>
          <w:szCs w:val="24"/>
        </w:rPr>
        <w:t xml:space="preserve"> in ways that other methods simply cannot. Often, we undertake ethnography because we are exploring a phenomenon or a culture that scholars know little about</w:t>
      </w:r>
      <w:r w:rsidR="00E00B02" w:rsidRPr="00B206A0">
        <w:rPr>
          <w:rFonts w:cstheme="minorHAnsi"/>
          <w:sz w:val="24"/>
          <w:szCs w:val="24"/>
        </w:rPr>
        <w:t>; we wish to enter new territory</w:t>
      </w:r>
      <w:r w:rsidRPr="00B206A0">
        <w:rPr>
          <w:rFonts w:cstheme="minorHAnsi"/>
          <w:sz w:val="24"/>
          <w:szCs w:val="24"/>
        </w:rPr>
        <w:t xml:space="preserve">. </w:t>
      </w:r>
      <w:r w:rsidR="00E00B02" w:rsidRPr="00B206A0">
        <w:rPr>
          <w:rFonts w:cstheme="minorHAnsi"/>
          <w:sz w:val="24"/>
          <w:szCs w:val="24"/>
        </w:rPr>
        <w:t>In these cases, we often have no idea what we might find</w:t>
      </w:r>
      <w:r w:rsidR="007C1BC9" w:rsidRPr="00B206A0">
        <w:rPr>
          <w:rFonts w:cstheme="minorHAnsi"/>
          <w:sz w:val="24"/>
          <w:szCs w:val="24"/>
        </w:rPr>
        <w:t xml:space="preserve"> or, for that matter, what we are hunting</w:t>
      </w:r>
      <w:r w:rsidR="00E00B02" w:rsidRPr="00B206A0">
        <w:rPr>
          <w:rFonts w:cstheme="minorHAnsi"/>
          <w:sz w:val="24"/>
          <w:szCs w:val="24"/>
        </w:rPr>
        <w:t xml:space="preserve">. Rather, we operate with a vague sense that something interesting this way lies. </w:t>
      </w:r>
      <w:r w:rsidR="00276663" w:rsidRPr="00B206A0">
        <w:rPr>
          <w:rFonts w:cstheme="minorHAnsi"/>
          <w:sz w:val="24"/>
          <w:szCs w:val="24"/>
        </w:rPr>
        <w:t xml:space="preserve">In no case, however, do </w:t>
      </w:r>
      <w:r w:rsidR="00C27D82" w:rsidRPr="00B206A0">
        <w:rPr>
          <w:rFonts w:cstheme="minorHAnsi"/>
          <w:sz w:val="24"/>
          <w:szCs w:val="24"/>
        </w:rPr>
        <w:t xml:space="preserve">we wander </w:t>
      </w:r>
      <w:r w:rsidR="00276663" w:rsidRPr="00B206A0">
        <w:rPr>
          <w:rFonts w:cstheme="minorHAnsi"/>
          <w:sz w:val="24"/>
          <w:szCs w:val="24"/>
        </w:rPr>
        <w:t>aimlessly. W</w:t>
      </w:r>
      <w:r w:rsidR="00C27D82" w:rsidRPr="00B206A0">
        <w:rPr>
          <w:rFonts w:cstheme="minorHAnsi"/>
          <w:sz w:val="24"/>
          <w:szCs w:val="24"/>
        </w:rPr>
        <w:t xml:space="preserve">e </w:t>
      </w:r>
      <w:r w:rsidR="00276663" w:rsidRPr="00B206A0">
        <w:rPr>
          <w:rFonts w:cstheme="minorHAnsi"/>
          <w:sz w:val="24"/>
          <w:szCs w:val="24"/>
        </w:rPr>
        <w:t>have purpose, skills, and a plan of sorts, but we set out knowing that the path before us may diverge in ways we did not expect.</w:t>
      </w:r>
      <w:r w:rsidR="00C27D82" w:rsidRPr="00B206A0">
        <w:rPr>
          <w:rFonts w:cstheme="minorHAnsi"/>
          <w:sz w:val="24"/>
          <w:szCs w:val="24"/>
        </w:rPr>
        <w:t xml:space="preserve">  </w:t>
      </w:r>
    </w:p>
    <w:p w:rsidR="003307A3" w:rsidRPr="00B206A0" w:rsidRDefault="002E283C" w:rsidP="00B206A0">
      <w:pPr>
        <w:spacing w:line="240" w:lineRule="auto"/>
        <w:rPr>
          <w:rFonts w:cstheme="minorHAnsi"/>
          <w:sz w:val="24"/>
          <w:szCs w:val="24"/>
          <w:u w:val="single"/>
        </w:rPr>
      </w:pPr>
      <w:r w:rsidRPr="00B206A0">
        <w:rPr>
          <w:rFonts w:cstheme="minorHAnsi"/>
          <w:sz w:val="24"/>
          <w:szCs w:val="24"/>
        </w:rPr>
        <w:t xml:space="preserve">To </w:t>
      </w:r>
      <w:r w:rsidR="00E00B02" w:rsidRPr="00B206A0">
        <w:rPr>
          <w:rFonts w:cstheme="minorHAnsi"/>
          <w:sz w:val="24"/>
          <w:szCs w:val="24"/>
        </w:rPr>
        <w:t xml:space="preserve">better </w:t>
      </w:r>
      <w:r w:rsidRPr="00B206A0">
        <w:rPr>
          <w:rFonts w:cstheme="minorHAnsi"/>
          <w:sz w:val="24"/>
          <w:szCs w:val="24"/>
        </w:rPr>
        <w:t xml:space="preserve">understand how and why to conduct ethnography, </w:t>
      </w:r>
      <w:r w:rsidR="00F353F8" w:rsidRPr="00B206A0">
        <w:rPr>
          <w:rFonts w:cstheme="minorHAnsi"/>
          <w:sz w:val="24"/>
          <w:szCs w:val="24"/>
        </w:rPr>
        <w:t>you</w:t>
      </w:r>
      <w:r w:rsidRPr="00B206A0">
        <w:rPr>
          <w:rFonts w:cstheme="minorHAnsi"/>
          <w:sz w:val="24"/>
          <w:szCs w:val="24"/>
        </w:rPr>
        <w:t xml:space="preserve"> will carry out a group ethnography of </w:t>
      </w:r>
      <w:r w:rsidR="003D55B0" w:rsidRPr="00B206A0">
        <w:rPr>
          <w:rFonts w:cstheme="minorHAnsi"/>
          <w:sz w:val="24"/>
          <w:szCs w:val="24"/>
        </w:rPr>
        <w:t>records managers</w:t>
      </w:r>
      <w:r w:rsidRPr="00B206A0">
        <w:rPr>
          <w:rFonts w:cstheme="minorHAnsi"/>
          <w:sz w:val="24"/>
          <w:szCs w:val="24"/>
        </w:rPr>
        <w:t xml:space="preserve">. I </w:t>
      </w:r>
      <w:r w:rsidR="003D55B0" w:rsidRPr="00B206A0">
        <w:rPr>
          <w:rFonts w:cstheme="minorHAnsi"/>
          <w:sz w:val="24"/>
          <w:szCs w:val="24"/>
        </w:rPr>
        <w:t>have already arranged</w:t>
      </w:r>
      <w:r w:rsidRPr="00B206A0">
        <w:rPr>
          <w:rFonts w:cstheme="minorHAnsi"/>
          <w:sz w:val="24"/>
          <w:szCs w:val="24"/>
        </w:rPr>
        <w:t xml:space="preserve"> </w:t>
      </w:r>
      <w:r w:rsidR="003D55B0" w:rsidRPr="00B206A0">
        <w:rPr>
          <w:rFonts w:cstheme="minorHAnsi"/>
          <w:sz w:val="24"/>
          <w:szCs w:val="24"/>
        </w:rPr>
        <w:t xml:space="preserve">access to and the participation of </w:t>
      </w:r>
      <w:r w:rsidR="00750B76" w:rsidRPr="00B206A0">
        <w:rPr>
          <w:rFonts w:cstheme="minorHAnsi"/>
          <w:sz w:val="24"/>
          <w:szCs w:val="24"/>
        </w:rPr>
        <w:t>two</w:t>
      </w:r>
      <w:r w:rsidR="003D55B0" w:rsidRPr="00B206A0">
        <w:rPr>
          <w:rFonts w:cstheme="minorHAnsi"/>
          <w:sz w:val="24"/>
          <w:szCs w:val="24"/>
        </w:rPr>
        <w:t xml:space="preserve"> </w:t>
      </w:r>
      <w:r w:rsidR="00E015CE" w:rsidRPr="00B206A0">
        <w:rPr>
          <w:rFonts w:cstheme="minorHAnsi"/>
          <w:sz w:val="24"/>
          <w:szCs w:val="24"/>
        </w:rPr>
        <w:t xml:space="preserve">Austin </w:t>
      </w:r>
      <w:r w:rsidR="003D55B0" w:rsidRPr="00B206A0">
        <w:rPr>
          <w:rFonts w:cstheme="minorHAnsi"/>
          <w:sz w:val="24"/>
          <w:szCs w:val="24"/>
        </w:rPr>
        <w:t>s</w:t>
      </w:r>
      <w:r w:rsidR="00E015CE" w:rsidRPr="00B206A0">
        <w:rPr>
          <w:rFonts w:cstheme="minorHAnsi"/>
          <w:sz w:val="24"/>
          <w:szCs w:val="24"/>
        </w:rPr>
        <w:t>ites: Office of the City Clerk</w:t>
      </w:r>
      <w:r w:rsidR="00750B76" w:rsidRPr="00B206A0">
        <w:rPr>
          <w:rFonts w:cstheme="minorHAnsi"/>
          <w:sz w:val="24"/>
          <w:szCs w:val="24"/>
        </w:rPr>
        <w:t xml:space="preserve"> and</w:t>
      </w:r>
      <w:r w:rsidR="00E015CE" w:rsidRPr="00B206A0">
        <w:rPr>
          <w:rFonts w:cstheme="minorHAnsi"/>
          <w:sz w:val="24"/>
          <w:szCs w:val="24"/>
        </w:rPr>
        <w:t xml:space="preserve"> </w:t>
      </w:r>
      <w:r w:rsidR="003D55B0" w:rsidRPr="00B206A0">
        <w:rPr>
          <w:rFonts w:cstheme="minorHAnsi"/>
          <w:sz w:val="24"/>
          <w:szCs w:val="24"/>
        </w:rPr>
        <w:t>Texas State Library and Archives Commission</w:t>
      </w:r>
      <w:r w:rsidRPr="00B206A0">
        <w:rPr>
          <w:rFonts w:cstheme="minorHAnsi"/>
          <w:sz w:val="24"/>
          <w:szCs w:val="24"/>
        </w:rPr>
        <w:t xml:space="preserve">. </w:t>
      </w:r>
      <w:r w:rsidR="00E015CE" w:rsidRPr="00B206A0">
        <w:rPr>
          <w:rFonts w:cstheme="minorHAnsi"/>
          <w:sz w:val="24"/>
          <w:szCs w:val="24"/>
        </w:rPr>
        <w:t>The Department of Family Protective Services</w:t>
      </w:r>
      <w:r w:rsidR="00750B76" w:rsidRPr="00B206A0">
        <w:rPr>
          <w:rFonts w:cstheme="minorHAnsi"/>
          <w:sz w:val="24"/>
          <w:szCs w:val="24"/>
        </w:rPr>
        <w:t xml:space="preserve"> and Austin/Travis County Health &amp; Human Services are</w:t>
      </w:r>
      <w:r w:rsidR="00E015CE" w:rsidRPr="00B206A0">
        <w:rPr>
          <w:rFonts w:cstheme="minorHAnsi"/>
          <w:sz w:val="24"/>
          <w:szCs w:val="24"/>
        </w:rPr>
        <w:t xml:space="preserve"> </w:t>
      </w:r>
      <w:r w:rsidR="00750B76" w:rsidRPr="00B206A0">
        <w:rPr>
          <w:rFonts w:cstheme="minorHAnsi"/>
          <w:sz w:val="24"/>
          <w:szCs w:val="24"/>
        </w:rPr>
        <w:t>two more possibilities</w:t>
      </w:r>
      <w:r w:rsidR="00E015CE" w:rsidRPr="00B206A0">
        <w:rPr>
          <w:rFonts w:cstheme="minorHAnsi"/>
          <w:sz w:val="24"/>
          <w:szCs w:val="24"/>
        </w:rPr>
        <w:t xml:space="preserve">, with confirmation expected by the time class begins. </w:t>
      </w:r>
      <w:r w:rsidRPr="00B206A0">
        <w:rPr>
          <w:rFonts w:cstheme="minorHAnsi"/>
          <w:sz w:val="24"/>
          <w:szCs w:val="24"/>
        </w:rPr>
        <w:t>You will work with your fellow students to collect a corpus of data through observations and interviews of informants</w:t>
      </w:r>
      <w:r w:rsidR="00E015CE" w:rsidRPr="00B206A0">
        <w:rPr>
          <w:rFonts w:cstheme="minorHAnsi"/>
          <w:sz w:val="24"/>
          <w:szCs w:val="24"/>
        </w:rPr>
        <w:t xml:space="preserve"> at these sites</w:t>
      </w:r>
      <w:r w:rsidRPr="00B206A0">
        <w:rPr>
          <w:rFonts w:cstheme="minorHAnsi"/>
          <w:sz w:val="24"/>
          <w:szCs w:val="24"/>
        </w:rPr>
        <w:t xml:space="preserve">. Either individually or in small groups, you will analyze the data </w:t>
      </w:r>
      <w:r w:rsidR="006E34E0" w:rsidRPr="00B206A0">
        <w:rPr>
          <w:rFonts w:cstheme="minorHAnsi"/>
          <w:sz w:val="24"/>
          <w:szCs w:val="24"/>
        </w:rPr>
        <w:t xml:space="preserve">we collect </w:t>
      </w:r>
      <w:r w:rsidRPr="00B206A0">
        <w:rPr>
          <w:rFonts w:cstheme="minorHAnsi"/>
          <w:sz w:val="24"/>
          <w:szCs w:val="24"/>
        </w:rPr>
        <w:t>through a theoretical lens of your choice. You will present your analysis verbally in class alone or, if you worked in a group</w:t>
      </w:r>
      <w:r w:rsidR="003F2F8A" w:rsidRPr="00B206A0">
        <w:rPr>
          <w:rFonts w:cstheme="minorHAnsi"/>
          <w:sz w:val="24"/>
          <w:szCs w:val="24"/>
        </w:rPr>
        <w:t xml:space="preserve"> to do analysis</w:t>
      </w:r>
      <w:r w:rsidRPr="00B206A0">
        <w:rPr>
          <w:rFonts w:cstheme="minorHAnsi"/>
          <w:sz w:val="24"/>
          <w:szCs w:val="24"/>
        </w:rPr>
        <w:t>, with others. You will write a final paper on your own, even if you completed your analysis with a group.</w:t>
      </w:r>
      <w:r w:rsidR="006E34E0" w:rsidRPr="00B206A0">
        <w:rPr>
          <w:rFonts w:cstheme="minorHAnsi"/>
          <w:sz w:val="24"/>
          <w:szCs w:val="24"/>
        </w:rPr>
        <w:t xml:space="preserve"> </w:t>
      </w:r>
      <w:r w:rsidR="004531E5" w:rsidRPr="00B206A0">
        <w:rPr>
          <w:rFonts w:cstheme="minorHAnsi"/>
          <w:sz w:val="24"/>
          <w:szCs w:val="24"/>
        </w:rPr>
        <w:t>Your</w:t>
      </w:r>
      <w:r w:rsidR="006E34E0" w:rsidRPr="00B206A0">
        <w:rPr>
          <w:rFonts w:cstheme="minorHAnsi"/>
          <w:sz w:val="24"/>
          <w:szCs w:val="24"/>
        </w:rPr>
        <w:t xml:space="preserve"> fieldwork and analysis will be guided by our reading of methods texts, stellar monographs of ethnographies, and journal articles that report </w:t>
      </w:r>
      <w:r w:rsidR="007C1BC9" w:rsidRPr="00B206A0">
        <w:rPr>
          <w:rFonts w:cstheme="minorHAnsi"/>
          <w:sz w:val="24"/>
          <w:szCs w:val="24"/>
        </w:rPr>
        <w:t xml:space="preserve">interesting </w:t>
      </w:r>
      <w:r w:rsidR="006E34E0" w:rsidRPr="00B206A0">
        <w:rPr>
          <w:rFonts w:cstheme="minorHAnsi"/>
          <w:sz w:val="24"/>
          <w:szCs w:val="24"/>
        </w:rPr>
        <w:t xml:space="preserve">ethnographic research. </w:t>
      </w:r>
    </w:p>
    <w:p w:rsidR="00E015CE" w:rsidRPr="00590A6A" w:rsidRDefault="00E015CE" w:rsidP="00E015CE">
      <w:pPr>
        <w:spacing w:before="120"/>
        <w:jc w:val="center"/>
        <w:rPr>
          <w:rFonts w:cstheme="minorHAnsi"/>
          <w:b/>
          <w:sz w:val="28"/>
          <w:szCs w:val="28"/>
        </w:rPr>
      </w:pPr>
      <w:r w:rsidRPr="00590A6A">
        <w:rPr>
          <w:rFonts w:cstheme="minorHAnsi"/>
          <w:b/>
          <w:sz w:val="28"/>
          <w:szCs w:val="28"/>
        </w:rPr>
        <w:t>Course Policies</w:t>
      </w:r>
    </w:p>
    <w:p w:rsidR="00E015CE" w:rsidRPr="00B206A0" w:rsidRDefault="00E015CE" w:rsidP="00E015CE">
      <w:pPr>
        <w:spacing w:after="0"/>
        <w:rPr>
          <w:rFonts w:cstheme="minorHAnsi"/>
          <w:b/>
          <w:sz w:val="24"/>
          <w:szCs w:val="24"/>
        </w:rPr>
      </w:pPr>
      <w:r w:rsidRPr="00B206A0">
        <w:rPr>
          <w:rFonts w:cstheme="minorHAnsi"/>
          <w:b/>
          <w:sz w:val="24"/>
          <w:szCs w:val="24"/>
        </w:rPr>
        <w:t>Attendance and Participation</w:t>
      </w:r>
    </w:p>
    <w:p w:rsidR="00E015CE" w:rsidRPr="00B206A0" w:rsidRDefault="00E015CE" w:rsidP="00B206A0">
      <w:pPr>
        <w:spacing w:line="240" w:lineRule="auto"/>
        <w:rPr>
          <w:rFonts w:cstheme="minorHAnsi"/>
          <w:sz w:val="24"/>
          <w:szCs w:val="24"/>
        </w:rPr>
      </w:pPr>
      <w:r w:rsidRPr="00B206A0">
        <w:rPr>
          <w:rFonts w:cstheme="minorHAnsi"/>
          <w:sz w:val="24"/>
          <w:szCs w:val="24"/>
        </w:rPr>
        <w:t xml:space="preserve">You are expected to attend every class and to have completed the reading and any assignments so that you can actively engage in discussions. </w:t>
      </w:r>
      <w:r w:rsidRPr="00B206A0">
        <w:rPr>
          <w:rFonts w:cstheme="minorHAnsi"/>
          <w:bCs/>
          <w:sz w:val="24"/>
          <w:szCs w:val="24"/>
        </w:rPr>
        <w:t xml:space="preserve">Your attendance and participation in class, </w:t>
      </w:r>
      <w:r w:rsidRPr="00B206A0">
        <w:rPr>
          <w:rFonts w:cstheme="minorHAnsi"/>
          <w:bCs/>
          <w:sz w:val="24"/>
          <w:szCs w:val="24"/>
        </w:rPr>
        <w:lastRenderedPageBreak/>
        <w:t>including your willingness to discuss topics and your helpful, genuine behavior towards your classmates, may affect your grade at my discretion.</w:t>
      </w:r>
    </w:p>
    <w:p w:rsidR="00E015CE" w:rsidRPr="00B206A0" w:rsidRDefault="00E015CE" w:rsidP="00E015CE">
      <w:pPr>
        <w:spacing w:after="0"/>
        <w:rPr>
          <w:rFonts w:cstheme="minorHAnsi"/>
          <w:b/>
          <w:bCs/>
          <w:sz w:val="24"/>
          <w:szCs w:val="24"/>
        </w:rPr>
      </w:pPr>
      <w:r w:rsidRPr="00B206A0">
        <w:rPr>
          <w:rFonts w:cstheme="minorHAnsi"/>
          <w:b/>
          <w:bCs/>
          <w:sz w:val="24"/>
          <w:szCs w:val="24"/>
        </w:rPr>
        <w:t>Grading</w:t>
      </w:r>
    </w:p>
    <w:p w:rsidR="00E015CE" w:rsidRPr="00B206A0" w:rsidRDefault="00E015CE" w:rsidP="00E015CE">
      <w:pPr>
        <w:spacing w:after="0" w:line="240" w:lineRule="auto"/>
        <w:rPr>
          <w:rFonts w:cstheme="minorHAnsi"/>
          <w:bCs/>
          <w:sz w:val="24"/>
          <w:szCs w:val="24"/>
        </w:rPr>
      </w:pPr>
      <w:r w:rsidRPr="00B206A0">
        <w:rPr>
          <w:rFonts w:cstheme="minorHAnsi"/>
          <w:bCs/>
          <w:sz w:val="24"/>
          <w:szCs w:val="24"/>
        </w:rPr>
        <w:t>See below for description of assignments in this list.</w:t>
      </w:r>
    </w:p>
    <w:p w:rsidR="00E015CE" w:rsidRPr="00B206A0" w:rsidRDefault="00E015CE" w:rsidP="00E015CE">
      <w:pPr>
        <w:spacing w:after="0" w:line="240" w:lineRule="auto"/>
        <w:ind w:left="720"/>
        <w:rPr>
          <w:rFonts w:cstheme="minorHAnsi"/>
          <w:bCs/>
          <w:sz w:val="24"/>
          <w:szCs w:val="24"/>
        </w:rPr>
      </w:pPr>
    </w:p>
    <w:p w:rsidR="00E015CE" w:rsidRPr="00B206A0" w:rsidRDefault="00E015CE" w:rsidP="00E015CE">
      <w:pPr>
        <w:spacing w:after="0" w:line="240" w:lineRule="auto"/>
        <w:ind w:left="4320" w:hanging="3600"/>
        <w:rPr>
          <w:rFonts w:cstheme="minorHAnsi"/>
          <w:bCs/>
          <w:sz w:val="24"/>
          <w:szCs w:val="24"/>
        </w:rPr>
      </w:pPr>
      <w:r w:rsidRPr="00B206A0">
        <w:rPr>
          <w:rFonts w:cstheme="minorHAnsi"/>
          <w:bCs/>
          <w:sz w:val="24"/>
          <w:szCs w:val="24"/>
        </w:rPr>
        <w:t>Book Verbal Presentation</w:t>
      </w:r>
      <w:r w:rsidRPr="00B206A0">
        <w:rPr>
          <w:rFonts w:cstheme="minorHAnsi"/>
          <w:bCs/>
          <w:sz w:val="24"/>
          <w:szCs w:val="24"/>
        </w:rPr>
        <w:tab/>
      </w:r>
      <w:r w:rsidRPr="00B206A0">
        <w:rPr>
          <w:rFonts w:cstheme="minorHAnsi"/>
          <w:bCs/>
          <w:sz w:val="24"/>
          <w:szCs w:val="24"/>
        </w:rPr>
        <w:tab/>
        <w:t>5%</w:t>
      </w:r>
      <w:r w:rsidRPr="00B206A0">
        <w:rPr>
          <w:rFonts w:cstheme="minorHAnsi"/>
          <w:bCs/>
          <w:sz w:val="24"/>
          <w:szCs w:val="24"/>
        </w:rPr>
        <w:tab/>
        <w:t>(individual)</w:t>
      </w:r>
    </w:p>
    <w:p w:rsidR="00E015CE" w:rsidRPr="00B206A0" w:rsidRDefault="00E015CE" w:rsidP="00E015CE">
      <w:pPr>
        <w:spacing w:after="0" w:line="240" w:lineRule="auto"/>
        <w:ind w:left="4320" w:hanging="3600"/>
        <w:rPr>
          <w:rFonts w:cstheme="minorHAnsi"/>
          <w:bCs/>
          <w:sz w:val="24"/>
          <w:szCs w:val="24"/>
        </w:rPr>
      </w:pPr>
      <w:r w:rsidRPr="00B206A0">
        <w:rPr>
          <w:rFonts w:cstheme="minorHAnsi"/>
          <w:bCs/>
          <w:sz w:val="24"/>
          <w:szCs w:val="24"/>
        </w:rPr>
        <w:t xml:space="preserve">Field Documents (5 total, 12% each) </w:t>
      </w:r>
      <w:r w:rsidRPr="00B206A0">
        <w:rPr>
          <w:rFonts w:cstheme="minorHAnsi"/>
          <w:bCs/>
          <w:sz w:val="24"/>
          <w:szCs w:val="24"/>
        </w:rPr>
        <w:tab/>
      </w:r>
      <w:r w:rsidRPr="00B206A0">
        <w:rPr>
          <w:rFonts w:cstheme="minorHAnsi"/>
          <w:bCs/>
          <w:sz w:val="24"/>
          <w:szCs w:val="24"/>
        </w:rPr>
        <w:tab/>
        <w:t>60%</w:t>
      </w:r>
      <w:r w:rsidRPr="00B206A0">
        <w:rPr>
          <w:rFonts w:cstheme="minorHAnsi"/>
          <w:bCs/>
          <w:sz w:val="24"/>
          <w:szCs w:val="24"/>
        </w:rPr>
        <w:tab/>
        <w:t>(individual)</w:t>
      </w:r>
    </w:p>
    <w:p w:rsidR="00E015CE" w:rsidRPr="00B206A0" w:rsidRDefault="00E015CE" w:rsidP="00E015CE">
      <w:pPr>
        <w:spacing w:after="0" w:line="240" w:lineRule="auto"/>
        <w:ind w:left="4320" w:hanging="3600"/>
        <w:rPr>
          <w:rFonts w:cstheme="minorHAnsi"/>
          <w:bCs/>
          <w:sz w:val="24"/>
          <w:szCs w:val="24"/>
        </w:rPr>
      </w:pPr>
      <w:r w:rsidRPr="00B206A0">
        <w:rPr>
          <w:rFonts w:cstheme="minorHAnsi"/>
          <w:bCs/>
          <w:sz w:val="24"/>
          <w:szCs w:val="24"/>
        </w:rPr>
        <w:t>Protocol and Two Pages of Text (2.5% each)</w:t>
      </w:r>
      <w:r w:rsidRPr="00B206A0">
        <w:rPr>
          <w:rFonts w:cstheme="minorHAnsi"/>
          <w:bCs/>
          <w:sz w:val="24"/>
          <w:szCs w:val="24"/>
        </w:rPr>
        <w:tab/>
        <w:t>5%</w:t>
      </w:r>
      <w:r w:rsidRPr="00B206A0">
        <w:rPr>
          <w:rFonts w:cstheme="minorHAnsi"/>
          <w:bCs/>
          <w:sz w:val="24"/>
          <w:szCs w:val="24"/>
        </w:rPr>
        <w:tab/>
        <w:t>(individual)</w:t>
      </w:r>
    </w:p>
    <w:p w:rsidR="00E015CE" w:rsidRPr="00B206A0" w:rsidRDefault="00E015CE" w:rsidP="00E015CE">
      <w:pPr>
        <w:spacing w:after="0" w:line="240" w:lineRule="auto"/>
        <w:ind w:left="4320" w:hanging="3600"/>
        <w:rPr>
          <w:rFonts w:cstheme="minorHAnsi"/>
          <w:bCs/>
          <w:sz w:val="24"/>
          <w:szCs w:val="24"/>
        </w:rPr>
      </w:pPr>
      <w:r w:rsidRPr="00B206A0">
        <w:rPr>
          <w:rFonts w:cstheme="minorHAnsi"/>
          <w:bCs/>
          <w:sz w:val="24"/>
          <w:szCs w:val="24"/>
        </w:rPr>
        <w:t xml:space="preserve">Project Verbal Presentation </w:t>
      </w:r>
      <w:r w:rsidRPr="00B206A0">
        <w:rPr>
          <w:rFonts w:cstheme="minorHAnsi"/>
          <w:bCs/>
          <w:sz w:val="24"/>
          <w:szCs w:val="24"/>
        </w:rPr>
        <w:tab/>
      </w:r>
      <w:r w:rsidRPr="00B206A0">
        <w:rPr>
          <w:rFonts w:cstheme="minorHAnsi"/>
          <w:bCs/>
          <w:sz w:val="24"/>
          <w:szCs w:val="24"/>
        </w:rPr>
        <w:tab/>
        <w:t>10%</w:t>
      </w:r>
      <w:r w:rsidRPr="00B206A0">
        <w:rPr>
          <w:rFonts w:cstheme="minorHAnsi"/>
          <w:bCs/>
          <w:sz w:val="24"/>
          <w:szCs w:val="24"/>
        </w:rPr>
        <w:tab/>
        <w:t>(individual or group)</w:t>
      </w:r>
    </w:p>
    <w:p w:rsidR="00E015CE" w:rsidRPr="00B206A0" w:rsidRDefault="00E015CE" w:rsidP="00E015CE">
      <w:pPr>
        <w:spacing w:after="0" w:line="240" w:lineRule="auto"/>
        <w:ind w:left="4320" w:hanging="3600"/>
        <w:rPr>
          <w:rFonts w:cstheme="minorHAnsi"/>
          <w:bCs/>
          <w:sz w:val="24"/>
          <w:szCs w:val="24"/>
          <w:u w:val="single"/>
        </w:rPr>
      </w:pPr>
      <w:r w:rsidRPr="00B206A0">
        <w:rPr>
          <w:rFonts w:cstheme="minorHAnsi"/>
          <w:bCs/>
          <w:sz w:val="24"/>
          <w:szCs w:val="24"/>
          <w:u w:val="single"/>
        </w:rPr>
        <w:t>Project Paper</w:t>
      </w:r>
      <w:r w:rsidRPr="00B206A0">
        <w:rPr>
          <w:rFonts w:cstheme="minorHAnsi"/>
          <w:bCs/>
          <w:sz w:val="24"/>
          <w:szCs w:val="24"/>
          <w:u w:val="single"/>
        </w:rPr>
        <w:tab/>
      </w:r>
      <w:r w:rsidRPr="00B206A0">
        <w:rPr>
          <w:rFonts w:cstheme="minorHAnsi"/>
          <w:bCs/>
          <w:sz w:val="24"/>
          <w:szCs w:val="24"/>
          <w:u w:val="single"/>
        </w:rPr>
        <w:tab/>
        <w:t>20%</w:t>
      </w:r>
      <w:r w:rsidRPr="00B206A0">
        <w:rPr>
          <w:rFonts w:cstheme="minorHAnsi"/>
          <w:bCs/>
          <w:sz w:val="24"/>
          <w:szCs w:val="24"/>
          <w:u w:val="single"/>
        </w:rPr>
        <w:tab/>
        <w:t>(individual)</w:t>
      </w:r>
    </w:p>
    <w:p w:rsidR="00E015CE" w:rsidRPr="00B206A0" w:rsidRDefault="00E015CE" w:rsidP="00E015CE">
      <w:pPr>
        <w:spacing w:after="0" w:line="240" w:lineRule="auto"/>
        <w:ind w:left="4320" w:hanging="3600"/>
        <w:rPr>
          <w:rFonts w:cstheme="minorHAnsi"/>
          <w:bCs/>
          <w:sz w:val="24"/>
          <w:szCs w:val="24"/>
        </w:rPr>
      </w:pPr>
      <w:r w:rsidRPr="00B206A0">
        <w:rPr>
          <w:rFonts w:cstheme="minorHAnsi"/>
          <w:bCs/>
          <w:sz w:val="24"/>
          <w:szCs w:val="24"/>
        </w:rPr>
        <w:t>Total</w:t>
      </w:r>
      <w:r w:rsidRPr="00B206A0">
        <w:rPr>
          <w:rFonts w:cstheme="minorHAnsi"/>
          <w:bCs/>
          <w:sz w:val="24"/>
          <w:szCs w:val="24"/>
        </w:rPr>
        <w:tab/>
      </w:r>
      <w:r w:rsidRPr="00B206A0">
        <w:rPr>
          <w:rFonts w:cstheme="minorHAnsi"/>
          <w:bCs/>
          <w:sz w:val="24"/>
          <w:szCs w:val="24"/>
        </w:rPr>
        <w:tab/>
        <w:t>100%</w:t>
      </w:r>
    </w:p>
    <w:p w:rsidR="00E015CE" w:rsidRPr="00B206A0" w:rsidRDefault="00E015CE" w:rsidP="00E015CE">
      <w:pPr>
        <w:spacing w:after="0" w:line="240" w:lineRule="auto"/>
        <w:ind w:left="720"/>
        <w:rPr>
          <w:rFonts w:cstheme="minorHAnsi"/>
          <w:bCs/>
          <w:sz w:val="24"/>
          <w:szCs w:val="24"/>
        </w:rPr>
      </w:pPr>
    </w:p>
    <w:p w:rsidR="00E015CE" w:rsidRPr="00B206A0" w:rsidRDefault="00E015CE" w:rsidP="00E015CE">
      <w:pPr>
        <w:spacing w:after="0"/>
        <w:rPr>
          <w:rFonts w:cstheme="minorHAnsi"/>
          <w:b/>
          <w:bCs/>
          <w:sz w:val="24"/>
          <w:szCs w:val="24"/>
        </w:rPr>
      </w:pPr>
      <w:r w:rsidRPr="00B206A0">
        <w:rPr>
          <w:rFonts w:cstheme="minorHAnsi"/>
          <w:b/>
          <w:bCs/>
          <w:sz w:val="24"/>
          <w:szCs w:val="24"/>
        </w:rPr>
        <w:t>Late Work Policy</w:t>
      </w:r>
    </w:p>
    <w:p w:rsidR="00E015CE" w:rsidRPr="00B206A0" w:rsidRDefault="00E015CE" w:rsidP="00B206A0">
      <w:pPr>
        <w:spacing w:line="240" w:lineRule="auto"/>
        <w:rPr>
          <w:rFonts w:cstheme="minorHAnsi"/>
          <w:bCs/>
          <w:sz w:val="24"/>
          <w:szCs w:val="24"/>
        </w:rPr>
      </w:pPr>
      <w:r w:rsidRPr="00B206A0">
        <w:rPr>
          <w:rFonts w:cstheme="minorHAnsi"/>
          <w:bCs/>
          <w:sz w:val="24"/>
          <w:szCs w:val="24"/>
        </w:rPr>
        <w:t xml:space="preserve">Your classmates need your material done on time, and I see value in meeting deadlines as good preparation for being a researcher. Thus, you will lose a letter grade if your materials are not ready by class time on their due date. You will lose another half a grade per additional day late. </w:t>
      </w:r>
    </w:p>
    <w:p w:rsidR="00E015CE" w:rsidRPr="00B206A0" w:rsidRDefault="00E015CE" w:rsidP="00E015CE">
      <w:pPr>
        <w:pStyle w:val="Heading3"/>
        <w:rPr>
          <w:rFonts w:asciiTheme="minorHAnsi" w:hAnsiTheme="minorHAnsi" w:cstheme="minorHAnsi"/>
          <w:i w:val="0"/>
          <w:sz w:val="24"/>
          <w:szCs w:val="24"/>
        </w:rPr>
      </w:pPr>
      <w:r w:rsidRPr="00B206A0">
        <w:rPr>
          <w:rFonts w:asciiTheme="minorHAnsi" w:hAnsiTheme="minorHAnsi" w:cstheme="minorHAnsi"/>
          <w:i w:val="0"/>
          <w:sz w:val="24"/>
          <w:szCs w:val="24"/>
        </w:rPr>
        <w:t>University of Texas Honor Code</w:t>
      </w:r>
    </w:p>
    <w:p w:rsidR="00E015CE" w:rsidRPr="00B206A0" w:rsidRDefault="00E015CE" w:rsidP="00B206A0">
      <w:pPr>
        <w:pStyle w:val="NormalWeb"/>
        <w:spacing w:before="0" w:beforeAutospacing="0" w:after="0" w:afterAutospacing="0"/>
        <w:rPr>
          <w:rFonts w:asciiTheme="minorHAnsi" w:hAnsiTheme="minorHAnsi" w:cstheme="minorHAnsi"/>
          <w:szCs w:val="24"/>
        </w:rPr>
      </w:pPr>
      <w:r w:rsidRPr="00B206A0">
        <w:rPr>
          <w:rFonts w:asciiTheme="minorHAnsi" w:hAnsiTheme="minorHAnsi" w:cstheme="minorHAnsi"/>
          <w:szCs w:val="24"/>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Source: </w:t>
      </w:r>
      <w:hyperlink r:id="rId13" w:history="1">
        <w:r w:rsidRPr="00B206A0">
          <w:rPr>
            <w:rStyle w:val="Hyperlink"/>
            <w:rFonts w:asciiTheme="minorHAnsi" w:hAnsiTheme="minorHAnsi" w:cstheme="minorHAnsi"/>
            <w:szCs w:val="24"/>
          </w:rPr>
          <w:t>http://www.utexas.edu/welcome/mission.html</w:t>
        </w:r>
      </w:hyperlink>
    </w:p>
    <w:p w:rsidR="00E015CE" w:rsidRPr="00B206A0" w:rsidRDefault="00E015CE" w:rsidP="00E015CE">
      <w:pPr>
        <w:pStyle w:val="Heading3"/>
        <w:rPr>
          <w:rFonts w:asciiTheme="minorHAnsi" w:hAnsiTheme="minorHAnsi" w:cstheme="minorHAnsi"/>
          <w:sz w:val="24"/>
          <w:szCs w:val="24"/>
        </w:rPr>
      </w:pPr>
    </w:p>
    <w:p w:rsidR="00E015CE" w:rsidRPr="00B206A0" w:rsidRDefault="00E015CE" w:rsidP="00E015CE">
      <w:pPr>
        <w:pStyle w:val="Heading3"/>
        <w:rPr>
          <w:rFonts w:asciiTheme="minorHAnsi" w:hAnsiTheme="minorHAnsi" w:cstheme="minorHAnsi"/>
          <w:i w:val="0"/>
          <w:sz w:val="24"/>
          <w:szCs w:val="24"/>
        </w:rPr>
      </w:pPr>
      <w:r w:rsidRPr="00B206A0">
        <w:rPr>
          <w:rFonts w:asciiTheme="minorHAnsi" w:hAnsiTheme="minorHAnsi" w:cstheme="minorHAnsi"/>
          <w:i w:val="0"/>
          <w:sz w:val="24"/>
          <w:szCs w:val="24"/>
        </w:rPr>
        <w:t>Documented Disability Statement</w:t>
      </w:r>
    </w:p>
    <w:p w:rsidR="00E015CE" w:rsidRPr="00B206A0" w:rsidRDefault="00E015CE" w:rsidP="00B206A0">
      <w:pPr>
        <w:pStyle w:val="NormalWeb"/>
        <w:spacing w:before="0" w:beforeAutospacing="0" w:after="0" w:afterAutospacing="0"/>
        <w:rPr>
          <w:rFonts w:asciiTheme="minorHAnsi" w:hAnsiTheme="minorHAnsi" w:cstheme="minorHAnsi"/>
          <w:szCs w:val="24"/>
        </w:rPr>
      </w:pPr>
      <w:r w:rsidRPr="00B206A0">
        <w:rPr>
          <w:rFonts w:asciiTheme="minorHAnsi" w:hAnsiTheme="minorHAnsi" w:cstheme="minorHAnsi"/>
          <w:szCs w:val="24"/>
        </w:rPr>
        <w:t>Any student with a documented disability who requires academic accommodations should contact Services for Students with Disabilities (SSD) at (512) 471-6259 (voice) or 1-866-329-3986 (video phone). Faculty are not required to provide accommodations without an official accommodation letter from SSD.</w:t>
      </w:r>
    </w:p>
    <w:p w:rsidR="00E015CE" w:rsidRPr="00B206A0" w:rsidRDefault="00E015CE" w:rsidP="00B206A0">
      <w:pPr>
        <w:numPr>
          <w:ilvl w:val="0"/>
          <w:numId w:val="8"/>
        </w:numPr>
        <w:spacing w:before="100" w:beforeAutospacing="1" w:after="100" w:afterAutospacing="1" w:line="240" w:lineRule="auto"/>
        <w:rPr>
          <w:rFonts w:cstheme="minorHAnsi"/>
          <w:sz w:val="24"/>
          <w:szCs w:val="24"/>
        </w:rPr>
      </w:pPr>
      <w:r w:rsidRPr="00B206A0">
        <w:rPr>
          <w:rFonts w:cstheme="minorHAnsi"/>
          <w:sz w:val="24"/>
          <w:szCs w:val="24"/>
        </w:rPr>
        <w:t>Please notify me as quickly as possible if the material being presented in class is not accessible (e.g., instructional videos need captioning, course packets are not readable for proper alternative text conversion, etc.).</w:t>
      </w:r>
    </w:p>
    <w:p w:rsidR="00E015CE" w:rsidRPr="00B206A0" w:rsidRDefault="00E015CE" w:rsidP="00B206A0">
      <w:pPr>
        <w:numPr>
          <w:ilvl w:val="0"/>
          <w:numId w:val="8"/>
        </w:numPr>
        <w:spacing w:before="100" w:beforeAutospacing="1" w:after="100" w:afterAutospacing="1" w:line="240" w:lineRule="auto"/>
        <w:rPr>
          <w:rFonts w:cstheme="minorHAnsi"/>
          <w:sz w:val="24"/>
          <w:szCs w:val="24"/>
        </w:rPr>
      </w:pPr>
      <w:r w:rsidRPr="00B206A0">
        <w:rPr>
          <w:rFonts w:cstheme="minorHAnsi"/>
          <w:sz w:val="24"/>
          <w:szCs w:val="24"/>
        </w:rPr>
        <w:t>Please notify me as early in the semester as possible if disability-related accommodations for field trips are required. Advanced notice will permit the arrangement of accommodations on the given day (e.g., transportation, site accessibility, etc.).</w:t>
      </w:r>
    </w:p>
    <w:p w:rsidR="00E015CE" w:rsidRPr="00B206A0" w:rsidRDefault="00E015CE" w:rsidP="00B206A0">
      <w:pPr>
        <w:numPr>
          <w:ilvl w:val="0"/>
          <w:numId w:val="8"/>
        </w:numPr>
        <w:spacing w:before="100" w:beforeAutospacing="1" w:after="100" w:afterAutospacing="1" w:line="240" w:lineRule="auto"/>
        <w:rPr>
          <w:rFonts w:cstheme="minorHAnsi"/>
          <w:sz w:val="24"/>
          <w:szCs w:val="24"/>
        </w:rPr>
      </w:pPr>
      <w:r w:rsidRPr="00B206A0">
        <w:rPr>
          <w:rFonts w:cstheme="minorHAnsi"/>
          <w:sz w:val="24"/>
          <w:szCs w:val="24"/>
        </w:rPr>
        <w:t xml:space="preserve">Contact Services for Students with Disabilities at 471-6259 (voice) or 1-866-329-3986 (video phone) or reference SSD’s website for more disability-related information: </w:t>
      </w:r>
      <w:hyperlink r:id="rId14" w:history="1">
        <w:r w:rsidRPr="00B206A0">
          <w:rPr>
            <w:rStyle w:val="Hyperlink"/>
            <w:rFonts w:cstheme="minorHAnsi"/>
            <w:sz w:val="24"/>
            <w:szCs w:val="24"/>
          </w:rPr>
          <w:t>http://www.utexas.edu/diversity/ddce/ssd/for_cstudents.php</w:t>
        </w:r>
      </w:hyperlink>
    </w:p>
    <w:p w:rsidR="00B206A0" w:rsidRDefault="00B206A0">
      <w:pPr>
        <w:rPr>
          <w:rFonts w:cstheme="minorHAnsi"/>
          <w:b/>
          <w:sz w:val="28"/>
          <w:szCs w:val="28"/>
        </w:rPr>
      </w:pPr>
      <w:r>
        <w:rPr>
          <w:rFonts w:cstheme="minorHAnsi"/>
          <w:b/>
          <w:sz w:val="28"/>
          <w:szCs w:val="28"/>
        </w:rPr>
        <w:br w:type="page"/>
      </w:r>
    </w:p>
    <w:p w:rsidR="00E015CE" w:rsidRPr="00590A6A" w:rsidRDefault="00E015CE" w:rsidP="00E015CE">
      <w:pPr>
        <w:jc w:val="center"/>
        <w:rPr>
          <w:rFonts w:cstheme="minorHAnsi"/>
          <w:b/>
          <w:sz w:val="28"/>
          <w:szCs w:val="28"/>
        </w:rPr>
      </w:pPr>
      <w:r w:rsidRPr="00590A6A">
        <w:rPr>
          <w:rFonts w:cstheme="minorHAnsi"/>
          <w:b/>
          <w:sz w:val="28"/>
          <w:szCs w:val="28"/>
        </w:rPr>
        <w:lastRenderedPageBreak/>
        <w:t>Assignments</w:t>
      </w:r>
    </w:p>
    <w:p w:rsidR="00E015CE" w:rsidRPr="00B206A0" w:rsidRDefault="00E015CE" w:rsidP="00B206A0">
      <w:pPr>
        <w:spacing w:after="0" w:line="240" w:lineRule="auto"/>
        <w:rPr>
          <w:rFonts w:cstheme="minorHAnsi"/>
          <w:sz w:val="24"/>
          <w:szCs w:val="24"/>
        </w:rPr>
      </w:pPr>
      <w:r w:rsidRPr="00B206A0">
        <w:rPr>
          <w:rFonts w:cstheme="minorHAnsi"/>
          <w:b/>
          <w:sz w:val="24"/>
          <w:szCs w:val="24"/>
        </w:rPr>
        <w:t>Book Presentation</w:t>
      </w:r>
      <w:r w:rsidRPr="00B206A0">
        <w:rPr>
          <w:rFonts w:cstheme="minorHAnsi"/>
          <w:sz w:val="24"/>
          <w:szCs w:val="24"/>
        </w:rPr>
        <w:t>. Each student must read one additional book (ethnography) beyond those listed in the course schedule. Please pick from the list below (under List of Books for Class Selection) or gain my approval for an alternate. You will give a short presentation on one of the two presentation days listed in the syllabus. Your report will be verbal, not written, and delivered to the class from your seat around the table. No PowerPoint, please. If you have a graphic that you would like everyone to see, you may make a single sheet (no more) to distribute; no text handouts, please. Tell the class what the book was about, how the author conducted the ethnography, what was interesting or well done, and what you learned from it. Class size will determine talk length. Good reports will be those that enable others to understand and appreciate this book, and will finish in the allotted time.</w:t>
      </w:r>
    </w:p>
    <w:p w:rsidR="00E015CE" w:rsidRPr="00B206A0" w:rsidRDefault="00E015CE" w:rsidP="00B206A0">
      <w:pPr>
        <w:spacing w:after="0" w:line="240" w:lineRule="auto"/>
        <w:rPr>
          <w:rFonts w:cstheme="minorHAnsi"/>
          <w:sz w:val="24"/>
          <w:szCs w:val="24"/>
        </w:rPr>
      </w:pPr>
    </w:p>
    <w:p w:rsidR="00E015CE" w:rsidRPr="00B206A0" w:rsidRDefault="00E015CE" w:rsidP="00B206A0">
      <w:pPr>
        <w:spacing w:after="0" w:line="240" w:lineRule="auto"/>
        <w:rPr>
          <w:rFonts w:cstheme="minorHAnsi"/>
          <w:sz w:val="24"/>
          <w:szCs w:val="24"/>
        </w:rPr>
      </w:pPr>
      <w:r w:rsidRPr="00B206A0">
        <w:rPr>
          <w:rFonts w:cstheme="minorHAnsi"/>
          <w:b/>
          <w:sz w:val="24"/>
          <w:szCs w:val="24"/>
        </w:rPr>
        <w:t>Field Documents.</w:t>
      </w:r>
      <w:r w:rsidRPr="00B206A0">
        <w:rPr>
          <w:rFonts w:cstheme="minorHAnsi"/>
          <w:sz w:val="24"/>
          <w:szCs w:val="24"/>
        </w:rPr>
        <w:t xml:space="preserve"> Each student will complete three observations and two interviews, the completed notes of which he or she must deposit in the class database (or HU, for hermeneutic unit) on the dates indicated in the course schedule. We will determine the expected length of each observation and interview (</w:t>
      </w:r>
      <w:r w:rsidR="00750B76" w:rsidRPr="00B206A0">
        <w:rPr>
          <w:rFonts w:cstheme="minorHAnsi"/>
          <w:sz w:val="24"/>
          <w:szCs w:val="24"/>
        </w:rPr>
        <w:t xml:space="preserve">in hours) as a class. I place </w:t>
      </w:r>
      <w:r w:rsidRPr="00B206A0">
        <w:rPr>
          <w:rFonts w:cstheme="minorHAnsi"/>
          <w:sz w:val="24"/>
          <w:szCs w:val="24"/>
        </w:rPr>
        <w:t xml:space="preserve">heavy weight </w:t>
      </w:r>
      <w:r w:rsidR="00750B76" w:rsidRPr="00B206A0">
        <w:rPr>
          <w:rFonts w:cstheme="minorHAnsi"/>
          <w:sz w:val="24"/>
          <w:szCs w:val="24"/>
        </w:rPr>
        <w:t xml:space="preserve">in terms of grade </w:t>
      </w:r>
      <w:r w:rsidRPr="00B206A0">
        <w:rPr>
          <w:rFonts w:cstheme="minorHAnsi"/>
          <w:sz w:val="24"/>
          <w:szCs w:val="24"/>
        </w:rPr>
        <w:t>on these documents because there is no such thing as a good ethnography absent good data. Good documents will reflect your concerted effort to gather rich details and will follow all formats that we establish in class.</w:t>
      </w:r>
    </w:p>
    <w:p w:rsidR="00E015CE" w:rsidRPr="00B206A0" w:rsidRDefault="00E015CE" w:rsidP="00B206A0">
      <w:pPr>
        <w:spacing w:after="0" w:line="240" w:lineRule="auto"/>
        <w:rPr>
          <w:rFonts w:cstheme="minorHAnsi"/>
          <w:sz w:val="24"/>
          <w:szCs w:val="24"/>
        </w:rPr>
      </w:pPr>
    </w:p>
    <w:p w:rsidR="00E015CE" w:rsidRPr="00B206A0" w:rsidRDefault="00E015CE" w:rsidP="00B206A0">
      <w:pPr>
        <w:spacing w:after="0" w:line="240" w:lineRule="auto"/>
        <w:rPr>
          <w:rFonts w:cstheme="minorHAnsi"/>
          <w:sz w:val="24"/>
          <w:szCs w:val="24"/>
        </w:rPr>
      </w:pPr>
      <w:r w:rsidRPr="00B206A0">
        <w:rPr>
          <w:rFonts w:cstheme="minorHAnsi"/>
          <w:b/>
          <w:sz w:val="24"/>
          <w:szCs w:val="24"/>
        </w:rPr>
        <w:t>Protocol.</w:t>
      </w:r>
      <w:r w:rsidRPr="00B206A0">
        <w:rPr>
          <w:rFonts w:cstheme="minorHAnsi"/>
          <w:sz w:val="24"/>
          <w:szCs w:val="24"/>
        </w:rPr>
        <w:t xml:space="preserve"> Before you conduct your interview, you need to create a protocol that will include the questions you intend to ask. Your classmates may desire that protocol; thus, you need to post it to the shared class space (not the HU) by the date indicated in the schedule. Good protocols will be clear, well-conceived, and sufficient for the task.</w:t>
      </w:r>
    </w:p>
    <w:p w:rsidR="00E015CE" w:rsidRPr="00B206A0" w:rsidRDefault="00E015CE" w:rsidP="00B206A0">
      <w:pPr>
        <w:spacing w:after="0" w:line="240" w:lineRule="auto"/>
        <w:rPr>
          <w:rFonts w:cstheme="minorHAnsi"/>
          <w:sz w:val="24"/>
          <w:szCs w:val="24"/>
        </w:rPr>
      </w:pPr>
    </w:p>
    <w:p w:rsidR="00E015CE" w:rsidRPr="00B206A0" w:rsidRDefault="00E015CE" w:rsidP="00B206A0">
      <w:pPr>
        <w:spacing w:after="0" w:line="240" w:lineRule="auto"/>
        <w:rPr>
          <w:rFonts w:cstheme="minorHAnsi"/>
          <w:sz w:val="24"/>
          <w:szCs w:val="24"/>
        </w:rPr>
      </w:pPr>
      <w:r w:rsidRPr="00B206A0">
        <w:rPr>
          <w:rFonts w:cstheme="minorHAnsi"/>
          <w:b/>
          <w:sz w:val="24"/>
          <w:szCs w:val="24"/>
        </w:rPr>
        <w:t>Two Pages of Text.</w:t>
      </w:r>
      <w:r w:rsidRPr="00B206A0">
        <w:rPr>
          <w:rFonts w:cstheme="minorHAnsi"/>
          <w:sz w:val="24"/>
          <w:szCs w:val="24"/>
        </w:rPr>
        <w:t xml:space="preserve"> For one of our writing exercises, you must </w:t>
      </w:r>
      <w:r w:rsidR="00F353F8" w:rsidRPr="00B206A0">
        <w:rPr>
          <w:rFonts w:cstheme="minorHAnsi"/>
          <w:sz w:val="24"/>
          <w:szCs w:val="24"/>
        </w:rPr>
        <w:t>bring to class</w:t>
      </w:r>
      <w:r w:rsidRPr="00B206A0">
        <w:rPr>
          <w:rFonts w:cstheme="minorHAnsi"/>
          <w:sz w:val="24"/>
          <w:szCs w:val="24"/>
        </w:rPr>
        <w:t xml:space="preserve"> </w:t>
      </w:r>
      <w:r w:rsidR="00F353F8" w:rsidRPr="00B206A0">
        <w:rPr>
          <w:rFonts w:cstheme="minorHAnsi"/>
          <w:sz w:val="24"/>
          <w:szCs w:val="24"/>
        </w:rPr>
        <w:t xml:space="preserve">a hard copy print out of </w:t>
      </w:r>
      <w:r w:rsidRPr="00B206A0">
        <w:rPr>
          <w:rFonts w:cstheme="minorHAnsi"/>
          <w:sz w:val="24"/>
          <w:szCs w:val="24"/>
        </w:rPr>
        <w:t xml:space="preserve">the first two pages, and two pages only, of a paper that you wrote for some other class, either here or elsewhere. You gain full points for timely submission </w:t>
      </w:r>
      <w:r w:rsidR="00F353F8" w:rsidRPr="00B206A0">
        <w:rPr>
          <w:rFonts w:cstheme="minorHAnsi"/>
          <w:sz w:val="24"/>
          <w:szCs w:val="24"/>
        </w:rPr>
        <w:t xml:space="preserve">of a properly formatted copy </w:t>
      </w:r>
      <w:r w:rsidRPr="00B206A0">
        <w:rPr>
          <w:rFonts w:cstheme="minorHAnsi"/>
          <w:sz w:val="24"/>
          <w:szCs w:val="24"/>
        </w:rPr>
        <w:t>(i.e., good = on time, exactly two pages</w:t>
      </w:r>
      <w:r w:rsidR="00F353F8" w:rsidRPr="00B206A0">
        <w:rPr>
          <w:rFonts w:cstheme="minorHAnsi"/>
          <w:sz w:val="24"/>
          <w:szCs w:val="24"/>
        </w:rPr>
        <w:t>, double-spaced, 1.25” margins</w:t>
      </w:r>
      <w:r w:rsidRPr="00B206A0">
        <w:rPr>
          <w:rFonts w:cstheme="minorHAnsi"/>
          <w:sz w:val="24"/>
          <w:szCs w:val="24"/>
        </w:rPr>
        <w:t>).</w:t>
      </w:r>
    </w:p>
    <w:p w:rsidR="00E015CE" w:rsidRPr="00B206A0" w:rsidRDefault="00E015CE" w:rsidP="00B206A0">
      <w:pPr>
        <w:spacing w:after="0" w:line="240" w:lineRule="auto"/>
        <w:rPr>
          <w:rFonts w:cstheme="minorHAnsi"/>
          <w:sz w:val="24"/>
          <w:szCs w:val="24"/>
        </w:rPr>
      </w:pPr>
    </w:p>
    <w:p w:rsidR="00E015CE" w:rsidRPr="00B206A0" w:rsidRDefault="00E015CE" w:rsidP="00B206A0">
      <w:pPr>
        <w:spacing w:after="0" w:line="240" w:lineRule="auto"/>
        <w:rPr>
          <w:rFonts w:cstheme="minorHAnsi"/>
          <w:sz w:val="24"/>
          <w:szCs w:val="24"/>
        </w:rPr>
      </w:pPr>
      <w:r w:rsidRPr="00B206A0">
        <w:rPr>
          <w:rFonts w:cstheme="minorHAnsi"/>
          <w:b/>
          <w:sz w:val="24"/>
          <w:szCs w:val="24"/>
        </w:rPr>
        <w:t>Project Verbal Presentation</w:t>
      </w:r>
      <w:r w:rsidRPr="00B206A0">
        <w:rPr>
          <w:rFonts w:cstheme="minorHAnsi"/>
          <w:sz w:val="24"/>
          <w:szCs w:val="24"/>
        </w:rPr>
        <w:t>. You will analyze data for this class either individually or in small groups; your choice will define whether you give your talk alone or with a group. Pretend this talk is you (or your group) at a conference giving a talk on your paper. You will stand to give this talk; you may use PowerPoint. Good talks will make clear the literature to which you speak, your research question, your methods (only insofar as your analysis is distinct), your findings, and your conclusions. Good talks will intrigue the audience and convince them of your clarity of thought. Class size will determine talk length.</w:t>
      </w:r>
    </w:p>
    <w:p w:rsidR="00E015CE" w:rsidRPr="00B206A0" w:rsidRDefault="00E015CE" w:rsidP="00B206A0">
      <w:pPr>
        <w:spacing w:after="0" w:line="240" w:lineRule="auto"/>
        <w:rPr>
          <w:rFonts w:cstheme="minorHAnsi"/>
          <w:sz w:val="24"/>
          <w:szCs w:val="24"/>
        </w:rPr>
      </w:pPr>
    </w:p>
    <w:p w:rsidR="00E015CE" w:rsidRPr="00B206A0" w:rsidRDefault="00E015CE" w:rsidP="00B206A0">
      <w:pPr>
        <w:spacing w:after="0" w:line="240" w:lineRule="auto"/>
        <w:rPr>
          <w:rFonts w:cstheme="minorHAnsi"/>
          <w:sz w:val="24"/>
          <w:szCs w:val="24"/>
        </w:rPr>
      </w:pPr>
      <w:r w:rsidRPr="00B206A0">
        <w:rPr>
          <w:rFonts w:cstheme="minorHAnsi"/>
          <w:b/>
          <w:sz w:val="24"/>
          <w:szCs w:val="24"/>
        </w:rPr>
        <w:t>Project Paper.</w:t>
      </w:r>
      <w:r w:rsidRPr="00B206A0">
        <w:rPr>
          <w:rFonts w:cstheme="minorHAnsi"/>
          <w:sz w:val="24"/>
          <w:szCs w:val="24"/>
        </w:rPr>
        <w:t xml:space="preserve"> You will write on your own (even if you did your analysis with a group) a paper on a topic of your choosing employing the ethnographic data that we collected in this class. You need not list limitations because we know what they are. You might wish to discuss areas for future research. You should list all references using a consistent and established format. Good papers will feature, at a minimum, the following clearly labeled sections (though you may use </w:t>
      </w:r>
      <w:r w:rsidRPr="00B206A0">
        <w:rPr>
          <w:rFonts w:cstheme="minorHAnsi"/>
          <w:sz w:val="24"/>
          <w:szCs w:val="24"/>
        </w:rPr>
        <w:lastRenderedPageBreak/>
        <w:t>titles of your own creation): (1) introduction, (2) literature review, (3) methods (complete, this time), (4) findings, and (5) discussion. Good papers will be well-conceived and well-written, neither skimpy nor verbose. Ideally, you will write the entire paper well, but you should ensure that you craft the first two pages especially well. Include in them the “hook” that snares the reader by making clear why your paper is needed; also note in these two pages why the topic is important.</w:t>
      </w:r>
    </w:p>
    <w:p w:rsidR="00E015CE" w:rsidRPr="00590A6A" w:rsidRDefault="00E015CE" w:rsidP="00E015CE">
      <w:pPr>
        <w:spacing w:before="120" w:line="240" w:lineRule="auto"/>
        <w:jc w:val="center"/>
        <w:rPr>
          <w:rFonts w:cstheme="minorHAnsi"/>
          <w:b/>
          <w:sz w:val="28"/>
          <w:szCs w:val="28"/>
        </w:rPr>
      </w:pPr>
      <w:r w:rsidRPr="00590A6A">
        <w:rPr>
          <w:rFonts w:cstheme="minorHAnsi"/>
          <w:b/>
          <w:sz w:val="28"/>
          <w:szCs w:val="28"/>
        </w:rPr>
        <w:t>Materials</w:t>
      </w:r>
    </w:p>
    <w:p w:rsidR="002959AE" w:rsidRDefault="00E015CE" w:rsidP="00E015CE">
      <w:pPr>
        <w:spacing w:after="0" w:line="240" w:lineRule="auto"/>
        <w:rPr>
          <w:rFonts w:cstheme="minorHAnsi"/>
          <w:sz w:val="24"/>
          <w:szCs w:val="24"/>
        </w:rPr>
      </w:pPr>
      <w:r w:rsidRPr="00590A6A">
        <w:rPr>
          <w:rFonts w:cstheme="minorHAnsi"/>
          <w:b/>
          <w:sz w:val="24"/>
          <w:szCs w:val="24"/>
        </w:rPr>
        <w:t>Software</w:t>
      </w:r>
      <w:r w:rsidR="002959AE">
        <w:rPr>
          <w:rFonts w:cstheme="minorHAnsi"/>
          <w:b/>
          <w:sz w:val="24"/>
          <w:szCs w:val="24"/>
        </w:rPr>
        <w:t xml:space="preserve"> </w:t>
      </w:r>
    </w:p>
    <w:p w:rsidR="00E015CE" w:rsidRPr="00590A6A" w:rsidRDefault="00E015CE" w:rsidP="00B206A0">
      <w:pPr>
        <w:spacing w:after="0" w:line="240" w:lineRule="auto"/>
        <w:rPr>
          <w:rFonts w:cstheme="minorHAnsi"/>
          <w:sz w:val="24"/>
          <w:szCs w:val="24"/>
        </w:rPr>
      </w:pPr>
      <w:r w:rsidRPr="00590A6A">
        <w:rPr>
          <w:rFonts w:cstheme="minorHAnsi"/>
          <w:sz w:val="24"/>
          <w:szCs w:val="24"/>
        </w:rPr>
        <w:t>We will be using Atlas ti software for analysis in this course. Student licenses are available for $99</w:t>
      </w:r>
      <w:r w:rsidR="00FF056D">
        <w:rPr>
          <w:rFonts w:cstheme="minorHAnsi"/>
          <w:sz w:val="24"/>
          <w:szCs w:val="24"/>
        </w:rPr>
        <w:t xml:space="preserve"> for PC users</w:t>
      </w:r>
      <w:r w:rsidRPr="00590A6A">
        <w:rPr>
          <w:rFonts w:cstheme="minorHAnsi"/>
          <w:sz w:val="24"/>
          <w:szCs w:val="24"/>
        </w:rPr>
        <w:t xml:space="preserve">. </w:t>
      </w:r>
      <w:r w:rsidR="00ED16CE">
        <w:rPr>
          <w:rFonts w:cstheme="minorHAnsi"/>
          <w:sz w:val="24"/>
          <w:szCs w:val="24"/>
        </w:rPr>
        <w:t xml:space="preserve">You can get a semester </w:t>
      </w:r>
      <w:r w:rsidR="00FF056D">
        <w:rPr>
          <w:rFonts w:cstheme="minorHAnsi"/>
          <w:sz w:val="24"/>
          <w:szCs w:val="24"/>
        </w:rPr>
        <w:t xml:space="preserve">PC </w:t>
      </w:r>
      <w:r w:rsidR="00B206A0">
        <w:rPr>
          <w:rFonts w:cstheme="minorHAnsi"/>
          <w:sz w:val="24"/>
          <w:szCs w:val="24"/>
        </w:rPr>
        <w:t>license from Atlas for only $51</w:t>
      </w:r>
      <w:r w:rsidR="00ED16CE">
        <w:rPr>
          <w:rFonts w:cstheme="minorHAnsi"/>
          <w:sz w:val="24"/>
          <w:szCs w:val="24"/>
        </w:rPr>
        <w:t xml:space="preserve"> if you think you do not want to retain a copy for future use.</w:t>
      </w:r>
      <w:r w:rsidR="00FF056D">
        <w:rPr>
          <w:rFonts w:cstheme="minorHAnsi"/>
          <w:sz w:val="24"/>
          <w:szCs w:val="24"/>
        </w:rPr>
        <w:t xml:space="preserve"> </w:t>
      </w:r>
      <w:r w:rsidR="00B206A0">
        <w:rPr>
          <w:rFonts w:cstheme="minorHAnsi"/>
          <w:sz w:val="24"/>
          <w:szCs w:val="24"/>
        </w:rPr>
        <w:t xml:space="preserve">See </w:t>
      </w:r>
      <w:hyperlink r:id="rId15" w:history="1">
        <w:r w:rsidR="00B206A0" w:rsidRPr="00BB571E">
          <w:rPr>
            <w:rStyle w:val="Hyperlink"/>
            <w:rFonts w:cstheme="minorHAnsi"/>
            <w:sz w:val="24"/>
            <w:szCs w:val="24"/>
          </w:rPr>
          <w:t>http://www.atlasti.com/students.html</w:t>
        </w:r>
      </w:hyperlink>
      <w:r w:rsidR="00B206A0">
        <w:rPr>
          <w:rFonts w:cstheme="minorHAnsi"/>
          <w:sz w:val="24"/>
          <w:szCs w:val="24"/>
        </w:rPr>
        <w:t xml:space="preserve">. </w:t>
      </w:r>
      <w:r w:rsidR="00FF056D">
        <w:rPr>
          <w:rFonts w:cstheme="minorHAnsi"/>
          <w:sz w:val="24"/>
          <w:szCs w:val="24"/>
        </w:rPr>
        <w:t>There are, sadly, no Mac versions. If you use a Mac, you will need to use the single copy of Atlas that we have installed in the lab. See the Purple Shirts for information on how and where to access it.</w:t>
      </w:r>
    </w:p>
    <w:p w:rsidR="00E015CE" w:rsidRPr="00590A6A" w:rsidRDefault="00E015CE" w:rsidP="00B206A0">
      <w:pPr>
        <w:spacing w:after="0" w:line="240" w:lineRule="auto"/>
        <w:rPr>
          <w:rFonts w:cstheme="minorHAnsi"/>
          <w:sz w:val="24"/>
          <w:szCs w:val="24"/>
        </w:rPr>
      </w:pPr>
    </w:p>
    <w:p w:rsidR="00E015CE" w:rsidRPr="00B206A0" w:rsidRDefault="00E015CE" w:rsidP="00E015CE">
      <w:pPr>
        <w:spacing w:after="0" w:line="240" w:lineRule="auto"/>
        <w:rPr>
          <w:rFonts w:cstheme="minorHAnsi"/>
          <w:b/>
          <w:sz w:val="24"/>
          <w:szCs w:val="24"/>
        </w:rPr>
      </w:pPr>
      <w:r w:rsidRPr="00B206A0">
        <w:rPr>
          <w:rFonts w:cstheme="minorHAnsi"/>
          <w:b/>
          <w:sz w:val="24"/>
          <w:szCs w:val="24"/>
        </w:rPr>
        <w:t xml:space="preserve">Required Books </w:t>
      </w:r>
    </w:p>
    <w:p w:rsidR="00E015CE" w:rsidRPr="00B206A0" w:rsidRDefault="00E015CE" w:rsidP="00B206A0">
      <w:pPr>
        <w:numPr>
          <w:ilvl w:val="0"/>
          <w:numId w:val="1"/>
        </w:numPr>
        <w:tabs>
          <w:tab w:val="clear" w:pos="1080"/>
        </w:tabs>
        <w:spacing w:after="0" w:line="240" w:lineRule="auto"/>
        <w:ind w:left="720"/>
        <w:rPr>
          <w:rFonts w:cstheme="minorHAnsi"/>
          <w:sz w:val="24"/>
          <w:szCs w:val="24"/>
        </w:rPr>
      </w:pPr>
      <w:r w:rsidRPr="00B206A0">
        <w:rPr>
          <w:rFonts w:cstheme="minorHAnsi"/>
          <w:sz w:val="24"/>
          <w:szCs w:val="24"/>
        </w:rPr>
        <w:t xml:space="preserve">Bosk, Charles L. 1979. </w:t>
      </w:r>
      <w:r w:rsidRPr="00B206A0">
        <w:rPr>
          <w:rFonts w:cstheme="minorHAnsi"/>
          <w:i/>
          <w:sz w:val="24"/>
          <w:szCs w:val="24"/>
        </w:rPr>
        <w:t>Forgive and Remember: Managing Medical Failure</w:t>
      </w:r>
      <w:r w:rsidRPr="00B206A0">
        <w:rPr>
          <w:rFonts w:cstheme="minorHAnsi"/>
          <w:sz w:val="24"/>
          <w:szCs w:val="24"/>
        </w:rPr>
        <w:t>. Chicago: University of Chicago Press.</w:t>
      </w:r>
    </w:p>
    <w:p w:rsidR="00E015CE" w:rsidRPr="00B206A0" w:rsidRDefault="00E015CE" w:rsidP="00B206A0">
      <w:pPr>
        <w:numPr>
          <w:ilvl w:val="0"/>
          <w:numId w:val="1"/>
        </w:numPr>
        <w:tabs>
          <w:tab w:val="clear" w:pos="1080"/>
          <w:tab w:val="num" w:pos="1440"/>
        </w:tabs>
        <w:spacing w:after="0" w:line="240" w:lineRule="auto"/>
        <w:ind w:left="720"/>
        <w:rPr>
          <w:rFonts w:cstheme="minorHAnsi"/>
          <w:sz w:val="24"/>
          <w:szCs w:val="24"/>
        </w:rPr>
      </w:pPr>
      <w:r w:rsidRPr="00B206A0">
        <w:rPr>
          <w:rFonts w:cstheme="minorHAnsi"/>
          <w:sz w:val="24"/>
          <w:szCs w:val="24"/>
        </w:rPr>
        <w:t xml:space="preserve">Emerson, Robert M., Fretz, Rachel I., Shaw, Linda L. 1995. </w:t>
      </w:r>
      <w:r w:rsidRPr="00B206A0">
        <w:rPr>
          <w:rFonts w:cstheme="minorHAnsi"/>
          <w:i/>
          <w:sz w:val="24"/>
          <w:szCs w:val="24"/>
        </w:rPr>
        <w:t>Writing Ethnographic Fieldnotes</w:t>
      </w:r>
      <w:r w:rsidRPr="00B206A0">
        <w:rPr>
          <w:rFonts w:cstheme="minorHAnsi"/>
          <w:sz w:val="24"/>
          <w:szCs w:val="24"/>
        </w:rPr>
        <w:t>. University of Chicago Press, Chicago. [WEF in Course Schedule]</w:t>
      </w:r>
    </w:p>
    <w:p w:rsidR="00E015CE" w:rsidRPr="00B206A0" w:rsidRDefault="00E015CE" w:rsidP="00B206A0">
      <w:pPr>
        <w:pStyle w:val="ListParagraph"/>
        <w:numPr>
          <w:ilvl w:val="0"/>
          <w:numId w:val="1"/>
        </w:numPr>
        <w:tabs>
          <w:tab w:val="clear" w:pos="1080"/>
        </w:tabs>
        <w:spacing w:line="240" w:lineRule="auto"/>
        <w:ind w:left="720"/>
        <w:rPr>
          <w:rFonts w:cstheme="minorHAnsi"/>
          <w:sz w:val="24"/>
          <w:szCs w:val="24"/>
        </w:rPr>
      </w:pPr>
      <w:r w:rsidRPr="00B206A0">
        <w:rPr>
          <w:rFonts w:cstheme="minorHAnsi"/>
          <w:sz w:val="24"/>
          <w:szCs w:val="24"/>
        </w:rPr>
        <w:t xml:space="preserve">Orr, Julian E. 1996. </w:t>
      </w:r>
      <w:r w:rsidRPr="00B206A0">
        <w:rPr>
          <w:rFonts w:cstheme="minorHAnsi"/>
          <w:i/>
          <w:sz w:val="24"/>
          <w:szCs w:val="24"/>
        </w:rPr>
        <w:t>Talking About Machines: An Ethnography of a Modern Job</w:t>
      </w:r>
      <w:r w:rsidRPr="00B206A0">
        <w:rPr>
          <w:rFonts w:cstheme="minorHAnsi"/>
          <w:sz w:val="24"/>
          <w:szCs w:val="24"/>
        </w:rPr>
        <w:t>. Ithaca, NY: ILR Press.</w:t>
      </w:r>
    </w:p>
    <w:p w:rsidR="00E015CE" w:rsidRPr="00B206A0" w:rsidRDefault="00E015CE" w:rsidP="00B206A0">
      <w:pPr>
        <w:pStyle w:val="ListParagraph"/>
        <w:numPr>
          <w:ilvl w:val="0"/>
          <w:numId w:val="1"/>
        </w:numPr>
        <w:tabs>
          <w:tab w:val="clear" w:pos="1080"/>
        </w:tabs>
        <w:spacing w:line="240" w:lineRule="auto"/>
        <w:ind w:left="720"/>
        <w:rPr>
          <w:rFonts w:cstheme="minorHAnsi"/>
          <w:sz w:val="24"/>
          <w:szCs w:val="24"/>
        </w:rPr>
      </w:pPr>
      <w:r w:rsidRPr="00B206A0">
        <w:rPr>
          <w:rFonts w:cstheme="minorHAnsi"/>
          <w:sz w:val="24"/>
          <w:szCs w:val="24"/>
        </w:rPr>
        <w:t xml:space="preserve">Weiss, Robert S. Learning from Strangers: </w:t>
      </w:r>
      <w:r w:rsidRPr="00B206A0">
        <w:rPr>
          <w:rFonts w:cstheme="minorHAnsi"/>
          <w:i/>
          <w:sz w:val="24"/>
          <w:szCs w:val="24"/>
        </w:rPr>
        <w:t>The Art and Method of Qualitative Interview Studies</w:t>
      </w:r>
      <w:r w:rsidRPr="00B206A0">
        <w:rPr>
          <w:rFonts w:cstheme="minorHAnsi"/>
          <w:sz w:val="24"/>
          <w:szCs w:val="24"/>
        </w:rPr>
        <w:t>. The Free Press, New York.</w:t>
      </w:r>
    </w:p>
    <w:p w:rsidR="00E015CE" w:rsidRPr="00B206A0" w:rsidRDefault="00E015CE" w:rsidP="00E015CE">
      <w:pPr>
        <w:spacing w:after="0" w:line="240" w:lineRule="auto"/>
        <w:rPr>
          <w:rFonts w:cstheme="minorHAnsi"/>
          <w:b/>
          <w:sz w:val="24"/>
          <w:szCs w:val="24"/>
        </w:rPr>
      </w:pPr>
      <w:r w:rsidRPr="00B206A0">
        <w:rPr>
          <w:rFonts w:cstheme="minorHAnsi"/>
          <w:b/>
          <w:sz w:val="24"/>
          <w:szCs w:val="24"/>
        </w:rPr>
        <w:t>Required Articles and Book Chapters</w:t>
      </w:r>
      <w:r w:rsidR="00B206A0" w:rsidRPr="00B206A0">
        <w:rPr>
          <w:rFonts w:cstheme="minorHAnsi"/>
          <w:b/>
          <w:sz w:val="24"/>
          <w:szCs w:val="24"/>
        </w:rPr>
        <w:t xml:space="preserve"> </w:t>
      </w:r>
      <w:r w:rsidR="00B206A0" w:rsidRPr="00B206A0">
        <w:rPr>
          <w:rFonts w:cstheme="minorHAnsi"/>
          <w:sz w:val="24"/>
          <w:szCs w:val="24"/>
        </w:rPr>
        <w:t>(on Blackboard by first day)</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Bailey, Diane E., Leonardi, Paul M., &amp; Chong, Jan. 2010. “Minding the Gaps: Understanding Technology Interdependence and Coordination in Knowledge Work.” </w:t>
      </w:r>
      <w:r w:rsidRPr="00B206A0">
        <w:rPr>
          <w:rFonts w:cstheme="minorHAnsi"/>
          <w:i/>
          <w:iCs/>
          <w:sz w:val="24"/>
          <w:szCs w:val="24"/>
        </w:rPr>
        <w:t>Organization Science</w:t>
      </w:r>
      <w:r w:rsidRPr="00B206A0">
        <w:rPr>
          <w:rFonts w:cstheme="minorHAnsi"/>
          <w:sz w:val="24"/>
          <w:szCs w:val="24"/>
        </w:rPr>
        <w:t>, 21(3): 713-730.</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color w:val="000000"/>
          <w:sz w:val="24"/>
          <w:szCs w:val="24"/>
        </w:rPr>
        <w:t xml:space="preserve">Barley, Stephen R. 2006. “When I Write My Masterpiece: Thoughts on What Makes a Paper Interesting.” </w:t>
      </w:r>
      <w:r w:rsidRPr="00B206A0">
        <w:rPr>
          <w:rFonts w:cstheme="minorHAnsi"/>
          <w:i/>
          <w:color w:val="000000"/>
          <w:sz w:val="24"/>
          <w:szCs w:val="24"/>
        </w:rPr>
        <w:t>Academy of Management Journal</w:t>
      </w:r>
      <w:r w:rsidRPr="00B206A0">
        <w:rPr>
          <w:rFonts w:cstheme="minorHAnsi"/>
          <w:color w:val="000000"/>
          <w:sz w:val="24"/>
          <w:szCs w:val="24"/>
        </w:rPr>
        <w:t>, 49(1): 16-20.</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color w:val="000000"/>
          <w:sz w:val="24"/>
          <w:szCs w:val="24"/>
        </w:rPr>
        <w:t xml:space="preserve">Barley, Stephen R. 1990. “Images of Imaging: Notes on Doing Longitudinal Field Work.” </w:t>
      </w:r>
      <w:r w:rsidRPr="00B206A0">
        <w:rPr>
          <w:rFonts w:cstheme="minorHAnsi"/>
          <w:i/>
          <w:color w:val="000000"/>
          <w:sz w:val="24"/>
          <w:szCs w:val="24"/>
        </w:rPr>
        <w:t>Organization Science</w:t>
      </w:r>
      <w:r w:rsidRPr="00B206A0">
        <w:rPr>
          <w:rFonts w:cstheme="minorHAnsi"/>
          <w:color w:val="000000"/>
          <w:sz w:val="24"/>
          <w:szCs w:val="24"/>
        </w:rPr>
        <w:t>, 1(3): 220-247.</w:t>
      </w:r>
    </w:p>
    <w:p w:rsidR="00CF565F" w:rsidRPr="00B206A0" w:rsidRDefault="00CF565F"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Becker, Howard S. 1996. “The Epistemology of Qualitative Research.” </w:t>
      </w:r>
      <w:r w:rsidR="002959AE" w:rsidRPr="00B206A0">
        <w:rPr>
          <w:rFonts w:cstheme="minorHAnsi"/>
          <w:sz w:val="24"/>
          <w:szCs w:val="24"/>
        </w:rPr>
        <w:t xml:space="preserve">In Robert M. Emerson (Ed.), </w:t>
      </w:r>
      <w:r w:rsidR="002959AE" w:rsidRPr="00B206A0">
        <w:rPr>
          <w:rFonts w:cstheme="minorHAnsi"/>
          <w:i/>
          <w:iCs/>
          <w:sz w:val="24"/>
          <w:szCs w:val="24"/>
        </w:rPr>
        <w:t xml:space="preserve">Contemporary Field Research: Perspectives and Formulations </w:t>
      </w:r>
      <w:r w:rsidR="002959AE" w:rsidRPr="00B206A0">
        <w:rPr>
          <w:rFonts w:cstheme="minorHAnsi"/>
          <w:sz w:val="24"/>
          <w:szCs w:val="24"/>
        </w:rPr>
        <w:t>(2nd ed.):  317-330. Prospect Heights, IL: Waveland Press.</w:t>
      </w:r>
    </w:p>
    <w:p w:rsidR="00E015CE" w:rsidRPr="00B206A0" w:rsidRDefault="00E015CE" w:rsidP="00B206A0">
      <w:pPr>
        <w:pStyle w:val="ListParagraph"/>
        <w:numPr>
          <w:ilvl w:val="0"/>
          <w:numId w:val="5"/>
        </w:numPr>
        <w:autoSpaceDE w:val="0"/>
        <w:autoSpaceDN w:val="0"/>
        <w:adjustRightInd w:val="0"/>
        <w:spacing w:after="0" w:line="240" w:lineRule="auto"/>
        <w:rPr>
          <w:rFonts w:cstheme="minorHAnsi"/>
          <w:sz w:val="24"/>
          <w:szCs w:val="24"/>
        </w:rPr>
      </w:pPr>
      <w:r w:rsidRPr="00B206A0">
        <w:rPr>
          <w:rFonts w:cstheme="minorHAnsi"/>
          <w:sz w:val="24"/>
          <w:szCs w:val="24"/>
        </w:rPr>
        <w:t xml:space="preserve">Boudreau, Marie-Claude and Robey, Daniel. 2005. “Enacting Integrated Information Technology: A Human Agency Perspective.” </w:t>
      </w:r>
      <w:r w:rsidRPr="00B206A0">
        <w:rPr>
          <w:rFonts w:cstheme="minorHAnsi"/>
          <w:i/>
          <w:sz w:val="24"/>
          <w:szCs w:val="24"/>
        </w:rPr>
        <w:t>Organization Science</w:t>
      </w:r>
      <w:r w:rsidRPr="00B206A0">
        <w:rPr>
          <w:rFonts w:cstheme="minorHAnsi"/>
          <w:sz w:val="24"/>
          <w:szCs w:val="24"/>
        </w:rPr>
        <w:t>, 16(1): 3-18.</w:t>
      </w:r>
    </w:p>
    <w:p w:rsidR="00E015CE" w:rsidRPr="00B206A0" w:rsidRDefault="00E015CE" w:rsidP="00B206A0">
      <w:pPr>
        <w:pStyle w:val="ListParagraph"/>
        <w:numPr>
          <w:ilvl w:val="0"/>
          <w:numId w:val="5"/>
        </w:numPr>
        <w:autoSpaceDE w:val="0"/>
        <w:autoSpaceDN w:val="0"/>
        <w:adjustRightInd w:val="0"/>
        <w:spacing w:after="0" w:line="240" w:lineRule="auto"/>
        <w:rPr>
          <w:rFonts w:cstheme="minorHAnsi"/>
          <w:i/>
          <w:iCs/>
          <w:sz w:val="24"/>
          <w:szCs w:val="24"/>
        </w:rPr>
      </w:pPr>
      <w:r w:rsidRPr="00B206A0">
        <w:rPr>
          <w:rFonts w:cstheme="minorHAnsi"/>
          <w:color w:val="000000"/>
          <w:sz w:val="24"/>
          <w:szCs w:val="24"/>
        </w:rPr>
        <w:t xml:space="preserve">Creswell, John W. and Miller, Dana L. 2000. “Determining Validity in Qualitative Inquiry.” </w:t>
      </w:r>
      <w:r w:rsidRPr="00B206A0">
        <w:rPr>
          <w:rFonts w:cstheme="minorHAnsi"/>
          <w:i/>
          <w:color w:val="000000"/>
          <w:sz w:val="24"/>
          <w:szCs w:val="24"/>
        </w:rPr>
        <w:t>Theory into Practice</w:t>
      </w:r>
      <w:r w:rsidRPr="00B206A0">
        <w:rPr>
          <w:rFonts w:cstheme="minorHAnsi"/>
          <w:color w:val="000000"/>
          <w:sz w:val="24"/>
          <w:szCs w:val="24"/>
        </w:rPr>
        <w:t>, 39(3): 124-130.</w:t>
      </w:r>
    </w:p>
    <w:p w:rsidR="00CF565F" w:rsidRPr="00B206A0" w:rsidRDefault="00CF565F" w:rsidP="00B206A0">
      <w:pPr>
        <w:pStyle w:val="ListParagraph"/>
        <w:numPr>
          <w:ilvl w:val="0"/>
          <w:numId w:val="5"/>
        </w:numPr>
        <w:autoSpaceDE w:val="0"/>
        <w:autoSpaceDN w:val="0"/>
        <w:adjustRightInd w:val="0"/>
        <w:spacing w:after="0" w:line="240" w:lineRule="auto"/>
        <w:rPr>
          <w:rFonts w:cstheme="minorHAnsi"/>
          <w:sz w:val="24"/>
          <w:szCs w:val="24"/>
        </w:rPr>
      </w:pPr>
      <w:r w:rsidRPr="00B206A0">
        <w:rPr>
          <w:rFonts w:cstheme="minorHAnsi"/>
          <w:sz w:val="24"/>
          <w:szCs w:val="24"/>
        </w:rPr>
        <w:t>Emerson, Robert M., &amp; Pollner, M. 2001. “Constructing Participant/Observation Relations</w:t>
      </w:r>
      <w:r w:rsidR="002959AE" w:rsidRPr="00B206A0">
        <w:rPr>
          <w:rFonts w:cstheme="minorHAnsi"/>
          <w:sz w:val="24"/>
          <w:szCs w:val="24"/>
        </w:rPr>
        <w:t xml:space="preserve">.” In Robert M. Emerson (Ed.), </w:t>
      </w:r>
      <w:r w:rsidRPr="00B206A0">
        <w:rPr>
          <w:rFonts w:cstheme="minorHAnsi"/>
          <w:i/>
          <w:iCs/>
          <w:sz w:val="24"/>
          <w:szCs w:val="24"/>
        </w:rPr>
        <w:t xml:space="preserve">Contemporary Field Research: Perspectives and Formulations </w:t>
      </w:r>
      <w:r w:rsidRPr="00B206A0">
        <w:rPr>
          <w:rFonts w:cstheme="minorHAnsi"/>
          <w:sz w:val="24"/>
          <w:szCs w:val="24"/>
        </w:rPr>
        <w:t>(2nd ed.):  239-259. Prospect Heights, IL: Waveland Press.</w:t>
      </w:r>
    </w:p>
    <w:p w:rsidR="00E015CE" w:rsidRPr="00B206A0" w:rsidRDefault="00E015CE" w:rsidP="00B206A0">
      <w:pPr>
        <w:pStyle w:val="ListParagraph"/>
        <w:numPr>
          <w:ilvl w:val="0"/>
          <w:numId w:val="5"/>
        </w:numPr>
        <w:autoSpaceDE w:val="0"/>
        <w:autoSpaceDN w:val="0"/>
        <w:adjustRightInd w:val="0"/>
        <w:spacing w:after="0" w:line="240" w:lineRule="auto"/>
        <w:rPr>
          <w:rFonts w:cstheme="minorHAnsi"/>
          <w:i/>
          <w:iCs/>
          <w:sz w:val="24"/>
          <w:szCs w:val="24"/>
        </w:rPr>
      </w:pPr>
      <w:r w:rsidRPr="00B206A0">
        <w:rPr>
          <w:rFonts w:cstheme="minorHAnsi"/>
          <w:sz w:val="24"/>
          <w:szCs w:val="24"/>
        </w:rPr>
        <w:lastRenderedPageBreak/>
        <w:t xml:space="preserve">Fine, Gary Alan. 1993. “Ten Lies of Ethnography: Moral Dilemmas in Field Research.” </w:t>
      </w:r>
      <w:r w:rsidRPr="00B206A0">
        <w:rPr>
          <w:rFonts w:cstheme="minorHAnsi"/>
          <w:i/>
          <w:sz w:val="24"/>
          <w:szCs w:val="24"/>
        </w:rPr>
        <w:t>Journal of Contemporary Ethnography</w:t>
      </w:r>
      <w:r w:rsidRPr="00B206A0">
        <w:rPr>
          <w:rFonts w:cstheme="minorHAnsi"/>
          <w:sz w:val="24"/>
          <w:szCs w:val="24"/>
        </w:rPr>
        <w:t>, 22(3): 267-294.</w:t>
      </w:r>
    </w:p>
    <w:p w:rsidR="00E015CE" w:rsidRPr="00B206A0" w:rsidRDefault="00E015CE" w:rsidP="00B206A0">
      <w:pPr>
        <w:pStyle w:val="ListParagraph"/>
        <w:numPr>
          <w:ilvl w:val="0"/>
          <w:numId w:val="5"/>
        </w:numPr>
        <w:autoSpaceDE w:val="0"/>
        <w:autoSpaceDN w:val="0"/>
        <w:adjustRightInd w:val="0"/>
        <w:spacing w:after="0" w:line="240" w:lineRule="auto"/>
        <w:rPr>
          <w:rFonts w:cstheme="minorHAnsi"/>
          <w:i/>
          <w:iCs/>
          <w:sz w:val="24"/>
          <w:szCs w:val="24"/>
        </w:rPr>
      </w:pPr>
      <w:r w:rsidRPr="00B206A0">
        <w:rPr>
          <w:rFonts w:cstheme="minorHAnsi"/>
          <w:sz w:val="24"/>
          <w:szCs w:val="24"/>
        </w:rPr>
        <w:t xml:space="preserve">Given, Lisa M. and Leckie, Gloria J. 2003. “’Sweeping’ the Library: Mapping the Social Activity Space of the Public Library.” </w:t>
      </w:r>
      <w:r w:rsidRPr="00B206A0">
        <w:rPr>
          <w:rFonts w:cstheme="minorHAnsi"/>
          <w:i/>
          <w:sz w:val="24"/>
          <w:szCs w:val="24"/>
        </w:rPr>
        <w:t>Library &amp; Information Science Research</w:t>
      </w:r>
      <w:r w:rsidRPr="00B206A0">
        <w:rPr>
          <w:rFonts w:cstheme="minorHAnsi"/>
          <w:sz w:val="24"/>
          <w:szCs w:val="24"/>
        </w:rPr>
        <w:t xml:space="preserve">, 25:365-385. </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Green, Nicola. 2002. “On the Move: Technology, Mobility, and the Mediation of Social Time and Space.” </w:t>
      </w:r>
      <w:r w:rsidRPr="00B206A0">
        <w:rPr>
          <w:rFonts w:cstheme="minorHAnsi"/>
          <w:i/>
          <w:sz w:val="24"/>
          <w:szCs w:val="24"/>
        </w:rPr>
        <w:t>The Information Society: An International Journal</w:t>
      </w:r>
      <w:r w:rsidRPr="00B206A0">
        <w:rPr>
          <w:rFonts w:cstheme="minorHAnsi"/>
          <w:sz w:val="24"/>
          <w:szCs w:val="24"/>
        </w:rPr>
        <w:t>, 18(4): 281-292.</w:t>
      </w:r>
    </w:p>
    <w:p w:rsidR="00CF565F" w:rsidRPr="00B206A0" w:rsidRDefault="00CF565F"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Hannerz, Ulf. 2003. “Being There… and There… and There! Reflections on Multi-Site Ethnography.” </w:t>
      </w:r>
      <w:r w:rsidRPr="00B206A0">
        <w:rPr>
          <w:rFonts w:cstheme="minorHAnsi"/>
          <w:i/>
          <w:iCs/>
          <w:sz w:val="24"/>
          <w:szCs w:val="24"/>
        </w:rPr>
        <w:t>Ethnography</w:t>
      </w:r>
      <w:r w:rsidRPr="00B206A0">
        <w:rPr>
          <w:rFonts w:cstheme="minorHAnsi"/>
          <w:sz w:val="24"/>
          <w:szCs w:val="24"/>
        </w:rPr>
        <w:t>, 4(2): 201-216.</w:t>
      </w:r>
    </w:p>
    <w:p w:rsidR="00E015CE" w:rsidRPr="00B206A0" w:rsidRDefault="00E015CE" w:rsidP="00B206A0">
      <w:pPr>
        <w:pStyle w:val="ListParagraph"/>
        <w:numPr>
          <w:ilvl w:val="0"/>
          <w:numId w:val="5"/>
        </w:numPr>
        <w:autoSpaceDE w:val="0"/>
        <w:autoSpaceDN w:val="0"/>
        <w:adjustRightInd w:val="0"/>
        <w:spacing w:after="0" w:line="240" w:lineRule="auto"/>
        <w:rPr>
          <w:rFonts w:cstheme="minorHAnsi"/>
          <w:i/>
          <w:iCs/>
          <w:sz w:val="24"/>
          <w:szCs w:val="24"/>
        </w:rPr>
      </w:pPr>
      <w:r w:rsidRPr="00B206A0">
        <w:rPr>
          <w:rFonts w:cstheme="minorHAnsi"/>
          <w:sz w:val="24"/>
          <w:szCs w:val="24"/>
        </w:rPr>
        <w:t xml:space="preserve">Hartel, Jenna and Thomson, Leslie. 2011. “Visual Approaches and Photography for the Study of Immediate Information Space.” </w:t>
      </w:r>
      <w:r w:rsidRPr="00B206A0">
        <w:rPr>
          <w:rFonts w:cstheme="minorHAnsi"/>
          <w:i/>
          <w:sz w:val="24"/>
          <w:szCs w:val="24"/>
        </w:rPr>
        <w:t>Journal of the American Society for Information Science and Technology</w:t>
      </w:r>
      <w:r w:rsidRPr="00B206A0">
        <w:rPr>
          <w:rFonts w:cstheme="minorHAnsi"/>
          <w:sz w:val="24"/>
          <w:szCs w:val="24"/>
        </w:rPr>
        <w:t>, 62(11): 2214-2224.</w:t>
      </w:r>
    </w:p>
    <w:p w:rsidR="0082374F" w:rsidRPr="00B206A0" w:rsidRDefault="0082374F" w:rsidP="00B206A0">
      <w:pPr>
        <w:pStyle w:val="ListParagraph"/>
        <w:numPr>
          <w:ilvl w:val="0"/>
          <w:numId w:val="5"/>
        </w:numPr>
        <w:autoSpaceDE w:val="0"/>
        <w:autoSpaceDN w:val="0"/>
        <w:adjustRightInd w:val="0"/>
        <w:spacing w:after="0" w:line="240" w:lineRule="auto"/>
        <w:rPr>
          <w:rFonts w:cstheme="minorHAnsi"/>
          <w:sz w:val="24"/>
          <w:szCs w:val="24"/>
        </w:rPr>
      </w:pPr>
      <w:r w:rsidRPr="00B206A0">
        <w:rPr>
          <w:rFonts w:cstheme="minorHAnsi"/>
          <w:sz w:val="24"/>
          <w:szCs w:val="24"/>
        </w:rPr>
        <w:t xml:space="preserve">Katz, J. 2001. “From How to Why: On Luminous Description and Causal Inference in Ethnography (Part 1).” </w:t>
      </w:r>
      <w:r w:rsidRPr="00B206A0">
        <w:rPr>
          <w:rFonts w:cstheme="minorHAnsi"/>
          <w:i/>
          <w:iCs/>
          <w:sz w:val="24"/>
          <w:szCs w:val="24"/>
        </w:rPr>
        <w:t>Ethnography</w:t>
      </w:r>
      <w:r w:rsidRPr="00B206A0">
        <w:rPr>
          <w:rFonts w:cstheme="minorHAnsi"/>
          <w:sz w:val="24"/>
          <w:szCs w:val="24"/>
        </w:rPr>
        <w:t xml:space="preserve">, </w:t>
      </w:r>
      <w:r w:rsidR="002959AE" w:rsidRPr="00B206A0">
        <w:rPr>
          <w:rFonts w:cstheme="minorHAnsi"/>
          <w:iCs/>
          <w:sz w:val="24"/>
          <w:szCs w:val="24"/>
        </w:rPr>
        <w:t>3(1): 63-90</w:t>
      </w:r>
      <w:r w:rsidRPr="00B206A0">
        <w:rPr>
          <w:rFonts w:cstheme="minorHAnsi"/>
          <w:sz w:val="24"/>
          <w:szCs w:val="24"/>
        </w:rPr>
        <w:t xml:space="preserve">. </w:t>
      </w:r>
    </w:p>
    <w:p w:rsidR="002959AE" w:rsidRPr="00B206A0" w:rsidRDefault="002959AE" w:rsidP="00B206A0">
      <w:pPr>
        <w:pStyle w:val="ListParagraph"/>
        <w:numPr>
          <w:ilvl w:val="0"/>
          <w:numId w:val="5"/>
        </w:numPr>
        <w:autoSpaceDE w:val="0"/>
        <w:autoSpaceDN w:val="0"/>
        <w:adjustRightInd w:val="0"/>
        <w:spacing w:after="0" w:line="240" w:lineRule="auto"/>
        <w:rPr>
          <w:rFonts w:cstheme="minorHAnsi"/>
          <w:sz w:val="24"/>
          <w:szCs w:val="24"/>
        </w:rPr>
      </w:pPr>
      <w:r w:rsidRPr="00B206A0">
        <w:rPr>
          <w:rFonts w:cstheme="minorHAnsi"/>
          <w:sz w:val="24"/>
          <w:szCs w:val="24"/>
        </w:rPr>
        <w:t xml:space="preserve">Katz, J. 2002. “From How to Why: On Luminous Description and Causal Inference in Ethnography (Part 2).” </w:t>
      </w:r>
      <w:r w:rsidRPr="00B206A0">
        <w:rPr>
          <w:rFonts w:cstheme="minorHAnsi"/>
          <w:i/>
          <w:iCs/>
          <w:sz w:val="24"/>
          <w:szCs w:val="24"/>
        </w:rPr>
        <w:t>Ethnography</w:t>
      </w:r>
      <w:r w:rsidRPr="00B206A0">
        <w:rPr>
          <w:rFonts w:cstheme="minorHAnsi"/>
          <w:sz w:val="24"/>
          <w:szCs w:val="24"/>
        </w:rPr>
        <w:t xml:space="preserve">, </w:t>
      </w:r>
      <w:r w:rsidRPr="00B206A0">
        <w:rPr>
          <w:rFonts w:cstheme="minorHAnsi"/>
          <w:iCs/>
          <w:sz w:val="24"/>
          <w:szCs w:val="24"/>
        </w:rPr>
        <w:t>2</w:t>
      </w:r>
      <w:r w:rsidRPr="00B206A0">
        <w:rPr>
          <w:rFonts w:cstheme="minorHAnsi"/>
          <w:sz w:val="24"/>
          <w:szCs w:val="24"/>
        </w:rPr>
        <w:t xml:space="preserve">(4), 443-473. </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bCs/>
          <w:sz w:val="24"/>
          <w:szCs w:val="24"/>
        </w:rPr>
        <w:t xml:space="preserve">Maxwell, Joseph A. 1992. “Understanding and Validity in Qualitative Research.” </w:t>
      </w:r>
      <w:r w:rsidRPr="00B206A0">
        <w:rPr>
          <w:rFonts w:cstheme="minorHAnsi"/>
          <w:bCs/>
          <w:i/>
          <w:sz w:val="24"/>
          <w:szCs w:val="24"/>
        </w:rPr>
        <w:t>Harvard Educational Review</w:t>
      </w:r>
      <w:r w:rsidRPr="00B206A0">
        <w:rPr>
          <w:rFonts w:cstheme="minorHAnsi"/>
          <w:bCs/>
          <w:sz w:val="24"/>
          <w:szCs w:val="24"/>
        </w:rPr>
        <w:t>, 62(3): 279-300.</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Orlikowski, Wanda J. 1992. “The Duality of Technology: Rethinking the Concept of Technology in Organizations.” </w:t>
      </w:r>
      <w:r w:rsidRPr="00B206A0">
        <w:rPr>
          <w:rFonts w:cstheme="minorHAnsi"/>
          <w:i/>
          <w:sz w:val="24"/>
          <w:szCs w:val="24"/>
        </w:rPr>
        <w:t>Organization Science</w:t>
      </w:r>
      <w:r w:rsidRPr="00B206A0">
        <w:rPr>
          <w:rFonts w:cstheme="minorHAnsi"/>
          <w:sz w:val="24"/>
          <w:szCs w:val="24"/>
        </w:rPr>
        <w:t>, 3(3): 398-427.</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Sargent, Carey. 2009. “Local Musicians Building Global Audiences.” </w:t>
      </w:r>
      <w:r w:rsidRPr="00B206A0">
        <w:rPr>
          <w:rFonts w:cstheme="minorHAnsi"/>
          <w:i/>
          <w:sz w:val="24"/>
          <w:szCs w:val="24"/>
        </w:rPr>
        <w:t>Information, Communication, &amp; Society</w:t>
      </w:r>
      <w:r w:rsidRPr="00B206A0">
        <w:rPr>
          <w:rFonts w:cstheme="minorHAnsi"/>
          <w:sz w:val="24"/>
          <w:szCs w:val="24"/>
        </w:rPr>
        <w:t>, 12(4): 469-487.</w:t>
      </w:r>
    </w:p>
    <w:p w:rsidR="00E015CE" w:rsidRPr="00B206A0" w:rsidRDefault="00E015CE" w:rsidP="00B206A0">
      <w:pPr>
        <w:pStyle w:val="ListParagraph"/>
        <w:numPr>
          <w:ilvl w:val="0"/>
          <w:numId w:val="5"/>
        </w:numPr>
        <w:spacing w:after="0" w:line="240" w:lineRule="auto"/>
        <w:rPr>
          <w:rFonts w:cstheme="minorHAnsi"/>
          <w:sz w:val="24"/>
          <w:szCs w:val="24"/>
        </w:rPr>
      </w:pPr>
      <w:r w:rsidRPr="00B206A0">
        <w:rPr>
          <w:rFonts w:cstheme="minorHAnsi"/>
          <w:sz w:val="24"/>
          <w:szCs w:val="24"/>
        </w:rPr>
        <w:t xml:space="preserve">Shankar, Kalpana. 2009. “Ambiguity and Legitimate Peripheral Participation in the Creation of Scientific Documents.” </w:t>
      </w:r>
      <w:r w:rsidRPr="00B206A0">
        <w:rPr>
          <w:rFonts w:cstheme="minorHAnsi"/>
          <w:i/>
          <w:sz w:val="24"/>
          <w:szCs w:val="24"/>
        </w:rPr>
        <w:t>Journal of Documentation</w:t>
      </w:r>
      <w:r w:rsidRPr="00B206A0">
        <w:rPr>
          <w:rFonts w:cstheme="minorHAnsi"/>
          <w:sz w:val="24"/>
          <w:szCs w:val="24"/>
        </w:rPr>
        <w:t>, 66(1): 151-165.</w:t>
      </w:r>
    </w:p>
    <w:p w:rsidR="0082374F" w:rsidRPr="00B206A0" w:rsidRDefault="0082374F" w:rsidP="00B206A0">
      <w:pPr>
        <w:pStyle w:val="ListParagraph"/>
        <w:numPr>
          <w:ilvl w:val="0"/>
          <w:numId w:val="5"/>
        </w:numPr>
        <w:spacing w:after="0" w:line="240" w:lineRule="auto"/>
        <w:rPr>
          <w:rFonts w:cstheme="minorHAnsi"/>
          <w:sz w:val="24"/>
          <w:szCs w:val="24"/>
        </w:rPr>
      </w:pPr>
      <w:r w:rsidRPr="00B206A0">
        <w:rPr>
          <w:rFonts w:cstheme="minorHAnsi"/>
          <w:sz w:val="24"/>
          <w:szCs w:val="24"/>
        </w:rPr>
        <w:t>Snow, David A., Morill, Calvin and Anderson, Leon. 2003. “Elaborating Analytic Ethnography</w:t>
      </w:r>
      <w:r w:rsidR="002959AE" w:rsidRPr="00B206A0">
        <w:rPr>
          <w:rFonts w:cstheme="minorHAnsi"/>
          <w:sz w:val="24"/>
          <w:szCs w:val="24"/>
        </w:rPr>
        <w:t>: Linking fieldwork and theory</w:t>
      </w:r>
      <w:r w:rsidRPr="00B206A0">
        <w:rPr>
          <w:rFonts w:cstheme="minorHAnsi"/>
          <w:sz w:val="24"/>
          <w:szCs w:val="24"/>
        </w:rPr>
        <w:t xml:space="preserve">.” </w:t>
      </w:r>
      <w:r w:rsidRPr="00B206A0">
        <w:rPr>
          <w:rFonts w:cstheme="minorHAnsi"/>
          <w:i/>
          <w:iCs/>
          <w:sz w:val="24"/>
          <w:szCs w:val="24"/>
        </w:rPr>
        <w:t>Ethnography</w:t>
      </w:r>
      <w:r w:rsidRPr="00B206A0">
        <w:rPr>
          <w:rFonts w:cstheme="minorHAnsi"/>
          <w:sz w:val="24"/>
          <w:szCs w:val="24"/>
        </w:rPr>
        <w:t xml:space="preserve"> 4 (2): 181-200.</w:t>
      </w:r>
    </w:p>
    <w:p w:rsidR="00E015CE" w:rsidRPr="00B206A0" w:rsidRDefault="00E015CE" w:rsidP="00B206A0">
      <w:pPr>
        <w:pStyle w:val="ListParagraph"/>
        <w:numPr>
          <w:ilvl w:val="0"/>
          <w:numId w:val="5"/>
        </w:numPr>
        <w:spacing w:before="100" w:beforeAutospacing="1" w:after="100" w:afterAutospacing="1" w:line="240" w:lineRule="auto"/>
        <w:rPr>
          <w:rFonts w:eastAsia="Times New Roman" w:cstheme="minorHAnsi"/>
          <w:sz w:val="24"/>
          <w:szCs w:val="24"/>
        </w:rPr>
      </w:pPr>
      <w:r w:rsidRPr="00B206A0">
        <w:rPr>
          <w:rFonts w:eastAsia="Times New Roman" w:cstheme="minorHAnsi"/>
          <w:sz w:val="24"/>
          <w:szCs w:val="24"/>
        </w:rPr>
        <w:t xml:space="preserve">Viseau, Ana, Clement, Andrew, Aspinall, Jane, and Kennedy, Tracy L.M. 2006. “The Interplay of Public and Private Spaces in Internet Access.” </w:t>
      </w:r>
      <w:r w:rsidRPr="00B206A0">
        <w:rPr>
          <w:rFonts w:eastAsia="Times New Roman" w:cstheme="minorHAnsi"/>
          <w:i/>
          <w:sz w:val="24"/>
          <w:szCs w:val="24"/>
        </w:rPr>
        <w:t>Information, Communication, &amp; Society</w:t>
      </w:r>
      <w:r w:rsidRPr="00B206A0">
        <w:rPr>
          <w:rFonts w:eastAsia="Times New Roman" w:cstheme="minorHAnsi"/>
          <w:sz w:val="24"/>
          <w:szCs w:val="24"/>
        </w:rPr>
        <w:t>, 9(5): 633-656.</w:t>
      </w:r>
    </w:p>
    <w:p w:rsidR="00E015CE" w:rsidRPr="00B206A0" w:rsidRDefault="00E015CE" w:rsidP="00E015CE">
      <w:pPr>
        <w:spacing w:after="0"/>
        <w:rPr>
          <w:rFonts w:cstheme="minorHAnsi"/>
          <w:sz w:val="24"/>
          <w:szCs w:val="24"/>
        </w:rPr>
      </w:pPr>
      <w:r w:rsidRPr="00B206A0">
        <w:rPr>
          <w:rFonts w:cstheme="minorHAnsi"/>
          <w:b/>
          <w:sz w:val="24"/>
          <w:szCs w:val="24"/>
        </w:rPr>
        <w:t>List of Books for Class Selection</w:t>
      </w:r>
      <w:r w:rsidRPr="00B206A0">
        <w:rPr>
          <w:rFonts w:cstheme="minorHAnsi"/>
          <w:sz w:val="24"/>
          <w:szCs w:val="24"/>
        </w:rPr>
        <w:t xml:space="preserve"> (each student must choose one, no duplicates)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Barley, Stephen R. and Kunda, Gideon. 2004. </w:t>
      </w:r>
      <w:r w:rsidRPr="00B206A0">
        <w:rPr>
          <w:rFonts w:cstheme="minorHAnsi"/>
          <w:i/>
          <w:sz w:val="24"/>
          <w:szCs w:val="24"/>
        </w:rPr>
        <w:t xml:space="preserve">Gurus, Hired Guns, and Warm Bodies: Itinerant Experts in a Knowledge Economy. </w:t>
      </w:r>
      <w:r w:rsidRPr="00B206A0">
        <w:rPr>
          <w:rFonts w:cstheme="minorHAnsi"/>
          <w:sz w:val="24"/>
          <w:szCs w:val="24"/>
        </w:rPr>
        <w:t>Princeton, NJ: Princeton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Becker, Howard S., Geer, Blanche, Hughes, Everett C. and Strauss, Anselm L. 1961. </w:t>
      </w:r>
      <w:r w:rsidRPr="00B206A0">
        <w:rPr>
          <w:rFonts w:cstheme="minorHAnsi"/>
          <w:i/>
          <w:sz w:val="24"/>
          <w:szCs w:val="24"/>
        </w:rPr>
        <w:t>Boys in White: Student Culture in Medical School</w:t>
      </w:r>
      <w:r w:rsidRPr="00B206A0">
        <w:rPr>
          <w:rFonts w:cstheme="minorHAnsi"/>
          <w:sz w:val="24"/>
          <w:szCs w:val="24"/>
        </w:rPr>
        <w:t>. Chicago: University of Chicago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Boellstorff, Tom. 2010. </w:t>
      </w:r>
      <w:r w:rsidRPr="00B206A0">
        <w:rPr>
          <w:rFonts w:cstheme="minorHAnsi"/>
          <w:i/>
          <w:sz w:val="24"/>
          <w:szCs w:val="24"/>
        </w:rPr>
        <w:t>Coming of Age in Second Life: An Anthropologist Explores the Virtually Human</w:t>
      </w:r>
      <w:r w:rsidRPr="00B206A0">
        <w:rPr>
          <w:rFonts w:cstheme="minorHAnsi"/>
          <w:sz w:val="24"/>
          <w:szCs w:val="24"/>
        </w:rPr>
        <w:t>. Princeton, NJ: Princeton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Duneier, Mitchell. 1999. </w:t>
      </w:r>
      <w:r w:rsidRPr="00B206A0">
        <w:rPr>
          <w:rFonts w:cstheme="minorHAnsi"/>
          <w:i/>
          <w:sz w:val="24"/>
          <w:szCs w:val="24"/>
        </w:rPr>
        <w:t>Sidewalk</w:t>
      </w:r>
      <w:r w:rsidRPr="00B206A0">
        <w:rPr>
          <w:rFonts w:cstheme="minorHAnsi"/>
          <w:sz w:val="24"/>
          <w:szCs w:val="24"/>
        </w:rPr>
        <w:t>. New York: Farrar, Straus, and Giroux.</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Fine, Gary A. 1996. </w:t>
      </w:r>
      <w:r w:rsidRPr="00B206A0">
        <w:rPr>
          <w:rFonts w:cstheme="minorHAnsi"/>
          <w:i/>
          <w:sz w:val="24"/>
          <w:szCs w:val="24"/>
        </w:rPr>
        <w:t>Kitchens: The Culture of Restaurant Work</w:t>
      </w:r>
      <w:r w:rsidRPr="00B206A0">
        <w:rPr>
          <w:rFonts w:cstheme="minorHAnsi"/>
          <w:sz w:val="24"/>
          <w:szCs w:val="24"/>
        </w:rPr>
        <w:t>. Berkeley: University of California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Gusterson, Hugh. 1996. </w:t>
      </w:r>
      <w:r w:rsidRPr="00B206A0">
        <w:rPr>
          <w:rFonts w:cstheme="minorHAnsi"/>
          <w:i/>
          <w:sz w:val="24"/>
          <w:szCs w:val="24"/>
        </w:rPr>
        <w:t xml:space="preserve">Nuclear Rites: A Weapons Laboratory at the End of the Cold War. </w:t>
      </w:r>
      <w:r w:rsidRPr="00B206A0">
        <w:rPr>
          <w:rFonts w:cstheme="minorHAnsi"/>
          <w:sz w:val="24"/>
          <w:szCs w:val="24"/>
        </w:rPr>
        <w:t>Berkeley: University of California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Hochschild, Arlie. 2003/1983. </w:t>
      </w:r>
      <w:r w:rsidRPr="00B206A0">
        <w:rPr>
          <w:rFonts w:cstheme="minorHAnsi"/>
          <w:i/>
          <w:sz w:val="24"/>
          <w:szCs w:val="24"/>
        </w:rPr>
        <w:t>The Managed Heart: Commercialization of Human Feeling, Twentieth Anniversary Edition</w:t>
      </w:r>
      <w:r w:rsidRPr="00B206A0">
        <w:rPr>
          <w:rFonts w:cstheme="minorHAnsi"/>
          <w:sz w:val="24"/>
          <w:szCs w:val="24"/>
        </w:rPr>
        <w:t>. Berkeley: University of California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lastRenderedPageBreak/>
        <w:t xml:space="preserve">Kellogg, Katherine C. 2011. </w:t>
      </w:r>
      <w:r w:rsidRPr="00B206A0">
        <w:rPr>
          <w:rFonts w:cstheme="minorHAnsi"/>
          <w:i/>
          <w:sz w:val="24"/>
          <w:szCs w:val="24"/>
        </w:rPr>
        <w:t>Challenging Operations: Medical Reform and Resistance in Surgery</w:t>
      </w:r>
      <w:r w:rsidRPr="00B206A0">
        <w:rPr>
          <w:rFonts w:cstheme="minorHAnsi"/>
          <w:sz w:val="24"/>
          <w:szCs w:val="24"/>
        </w:rPr>
        <w:t>. Chicago: University of Chicago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Knorr Cetina, Karin. 1999. </w:t>
      </w:r>
      <w:r w:rsidRPr="00B206A0">
        <w:rPr>
          <w:rFonts w:cstheme="minorHAnsi"/>
          <w:i/>
          <w:sz w:val="24"/>
          <w:szCs w:val="24"/>
        </w:rPr>
        <w:t>Epistemic Cultures: How the Sciences Make Knowledge.</w:t>
      </w:r>
      <w:r w:rsidRPr="00B206A0">
        <w:rPr>
          <w:rFonts w:cstheme="minorHAnsi"/>
          <w:sz w:val="24"/>
          <w:szCs w:val="24"/>
        </w:rPr>
        <w:t xml:space="preserve"> Cambridge: Harvard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Kunda, Gideon. 1992. </w:t>
      </w:r>
      <w:r w:rsidRPr="00B206A0">
        <w:rPr>
          <w:rFonts w:cstheme="minorHAnsi"/>
          <w:i/>
          <w:sz w:val="24"/>
          <w:szCs w:val="24"/>
        </w:rPr>
        <w:t>Engineering Culture: Control and Commitment in a High-Tech Corporation.</w:t>
      </w:r>
      <w:r w:rsidRPr="00B206A0">
        <w:rPr>
          <w:rFonts w:cstheme="minorHAnsi"/>
          <w:sz w:val="24"/>
          <w:szCs w:val="24"/>
        </w:rPr>
        <w:t xml:space="preserve"> Philadelphia: Temple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Latour, Bruno and Woolgar, Steve. 1979. </w:t>
      </w:r>
      <w:r w:rsidRPr="00B206A0">
        <w:rPr>
          <w:rFonts w:cstheme="minorHAnsi"/>
          <w:i/>
          <w:sz w:val="24"/>
          <w:szCs w:val="24"/>
        </w:rPr>
        <w:t>Laboratory Life: The Construction of Scientific Facts</w:t>
      </w:r>
      <w:r w:rsidRPr="00B206A0">
        <w:rPr>
          <w:rFonts w:cstheme="minorHAnsi"/>
          <w:sz w:val="24"/>
          <w:szCs w:val="24"/>
        </w:rPr>
        <w:t>. Sage Publications.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Leonardi, Paul. 2012. </w:t>
      </w:r>
      <w:r w:rsidRPr="00B206A0">
        <w:rPr>
          <w:rFonts w:cstheme="minorHAnsi"/>
          <w:i/>
          <w:sz w:val="24"/>
          <w:szCs w:val="24"/>
        </w:rPr>
        <w:t>Car Crashes without Cars: Lessons about Simulation Technology and Organizational Change from Automotive Design</w:t>
      </w:r>
      <w:r w:rsidRPr="00B206A0">
        <w:rPr>
          <w:rFonts w:cstheme="minorHAnsi"/>
          <w:sz w:val="24"/>
          <w:szCs w:val="24"/>
        </w:rPr>
        <w:t>. Cambridge, Mass: MIT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Levitt, Peggy. 2001. </w:t>
      </w:r>
      <w:r w:rsidRPr="00B206A0">
        <w:rPr>
          <w:rFonts w:cstheme="minorHAnsi"/>
          <w:i/>
          <w:sz w:val="24"/>
          <w:szCs w:val="24"/>
        </w:rPr>
        <w:t>The Transnational Villagers</w:t>
      </w:r>
      <w:r w:rsidRPr="00B206A0">
        <w:rPr>
          <w:rFonts w:cstheme="minorHAnsi"/>
          <w:sz w:val="24"/>
          <w:szCs w:val="24"/>
        </w:rPr>
        <w:t>. Berkeley: University of California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Lock, Margaret. 1993. </w:t>
      </w:r>
      <w:r w:rsidRPr="00B206A0">
        <w:rPr>
          <w:rFonts w:cstheme="minorHAnsi"/>
          <w:i/>
          <w:sz w:val="24"/>
          <w:szCs w:val="24"/>
        </w:rPr>
        <w:t>Encounters with Aging: Mythologies of Menopause in Japan and North America</w:t>
      </w:r>
      <w:r w:rsidRPr="00B206A0">
        <w:rPr>
          <w:rFonts w:cstheme="minorHAnsi"/>
          <w:sz w:val="24"/>
          <w:szCs w:val="24"/>
        </w:rPr>
        <w:t xml:space="preserve">. London: University of California Press. </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Millman, Marcia. 1977. </w:t>
      </w:r>
      <w:r w:rsidRPr="00B206A0">
        <w:rPr>
          <w:rFonts w:cstheme="minorHAnsi"/>
          <w:i/>
          <w:sz w:val="24"/>
          <w:szCs w:val="24"/>
        </w:rPr>
        <w:t>The Unkindest Cut: Life in the Backrooms of Medicine.</w:t>
      </w:r>
      <w:r w:rsidRPr="00B206A0">
        <w:rPr>
          <w:rFonts w:cstheme="minorHAnsi"/>
          <w:sz w:val="24"/>
          <w:szCs w:val="24"/>
        </w:rPr>
        <w:t xml:space="preserve"> New York: William Morrow and Company.</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Nardi, Bonnie A. 2010. </w:t>
      </w:r>
      <w:r w:rsidRPr="00B206A0">
        <w:rPr>
          <w:rFonts w:cstheme="minorHAnsi"/>
          <w:i/>
          <w:sz w:val="24"/>
          <w:szCs w:val="24"/>
        </w:rPr>
        <w:t xml:space="preserve">My Life as a Night Owl Priest: An Anthropological Account of World of Warcraft. </w:t>
      </w:r>
      <w:r w:rsidRPr="00B206A0">
        <w:rPr>
          <w:rFonts w:cstheme="minorHAnsi"/>
          <w:sz w:val="24"/>
          <w:szCs w:val="24"/>
        </w:rPr>
        <w:t>Ann Arbor, MI: University of Michigan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Perlow, Leslie A. 1997. </w:t>
      </w:r>
      <w:r w:rsidRPr="00B206A0">
        <w:rPr>
          <w:rFonts w:cstheme="minorHAnsi"/>
          <w:i/>
          <w:sz w:val="24"/>
          <w:szCs w:val="24"/>
        </w:rPr>
        <w:t>Finding Time: How Corporations, Individuals, and Families Can Benefit from New Work Practices.</w:t>
      </w:r>
      <w:r w:rsidRPr="00B206A0">
        <w:rPr>
          <w:rFonts w:cstheme="minorHAnsi"/>
          <w:sz w:val="24"/>
          <w:szCs w:val="24"/>
        </w:rPr>
        <w:t xml:space="preserve"> Ithaca, NY: ILR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Takhteyev, Yuri. 2012. </w:t>
      </w:r>
      <w:r w:rsidRPr="00B206A0">
        <w:rPr>
          <w:rFonts w:cstheme="minorHAnsi"/>
          <w:i/>
          <w:sz w:val="24"/>
          <w:szCs w:val="24"/>
        </w:rPr>
        <w:t>Coding Places: Software Practice in a South American City</w:t>
      </w:r>
      <w:r w:rsidRPr="00B206A0">
        <w:rPr>
          <w:rFonts w:cstheme="minorHAnsi"/>
          <w:sz w:val="24"/>
          <w:szCs w:val="24"/>
        </w:rPr>
        <w:t>. Cambridge, Mass: MIT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Taylor, Janelle S. 2008. </w:t>
      </w:r>
      <w:r w:rsidRPr="00B206A0">
        <w:rPr>
          <w:rFonts w:cstheme="minorHAnsi"/>
          <w:i/>
          <w:sz w:val="24"/>
          <w:szCs w:val="24"/>
        </w:rPr>
        <w:t>The Public Life of the Fetal Sonogram: Technology, Consumption, and the Politics of Reproduction.</w:t>
      </w:r>
      <w:r w:rsidRPr="00B206A0">
        <w:rPr>
          <w:rFonts w:cstheme="minorHAnsi"/>
          <w:sz w:val="24"/>
          <w:szCs w:val="24"/>
        </w:rPr>
        <w:t xml:space="preserve"> Newark, NJ: Rutgers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Traweek, Sharon. 1988. </w:t>
      </w:r>
      <w:r w:rsidRPr="00B206A0">
        <w:rPr>
          <w:rFonts w:cstheme="minorHAnsi"/>
          <w:i/>
          <w:sz w:val="24"/>
          <w:szCs w:val="24"/>
        </w:rPr>
        <w:t>Beamtimes and Lifetimes: The World of High-Energy Physicists</w:t>
      </w:r>
      <w:r w:rsidRPr="00B206A0">
        <w:rPr>
          <w:rFonts w:cstheme="minorHAnsi"/>
          <w:sz w:val="24"/>
          <w:szCs w:val="24"/>
        </w:rPr>
        <w:t>. Cambridge, Mass: Harvard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Venkatesh, Sudhir. 2008. </w:t>
      </w:r>
      <w:r w:rsidRPr="00B206A0">
        <w:rPr>
          <w:rFonts w:cstheme="minorHAnsi"/>
          <w:i/>
          <w:sz w:val="24"/>
          <w:szCs w:val="24"/>
        </w:rPr>
        <w:t>Gang Leader for a Day: A Rogue Sociologist Takes to the Streets</w:t>
      </w:r>
      <w:r w:rsidRPr="00B206A0">
        <w:rPr>
          <w:rFonts w:cstheme="minorHAnsi"/>
          <w:sz w:val="24"/>
          <w:szCs w:val="24"/>
        </w:rPr>
        <w:t>. New York: Penguin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Willis, Paul. 1977. </w:t>
      </w:r>
      <w:r w:rsidRPr="00B206A0">
        <w:rPr>
          <w:rFonts w:cstheme="minorHAnsi"/>
          <w:i/>
          <w:sz w:val="24"/>
          <w:szCs w:val="24"/>
        </w:rPr>
        <w:t>Learning to Labor: How Working Class Kids Get Working Class Jobs</w:t>
      </w:r>
      <w:r w:rsidRPr="00B206A0">
        <w:rPr>
          <w:rFonts w:cstheme="minorHAnsi"/>
          <w:sz w:val="24"/>
          <w:szCs w:val="24"/>
        </w:rPr>
        <w:t>. New York: Columbia University Press.</w:t>
      </w:r>
    </w:p>
    <w:p w:rsidR="00E015CE" w:rsidRPr="00B206A0" w:rsidRDefault="00E015CE" w:rsidP="00B206A0">
      <w:pPr>
        <w:pStyle w:val="ListParagraph"/>
        <w:numPr>
          <w:ilvl w:val="0"/>
          <w:numId w:val="3"/>
        </w:numPr>
        <w:spacing w:line="240" w:lineRule="auto"/>
        <w:rPr>
          <w:rFonts w:cstheme="minorHAnsi"/>
          <w:sz w:val="24"/>
          <w:szCs w:val="24"/>
        </w:rPr>
      </w:pPr>
      <w:r w:rsidRPr="00B206A0">
        <w:rPr>
          <w:rFonts w:cstheme="minorHAnsi"/>
          <w:sz w:val="24"/>
          <w:szCs w:val="24"/>
        </w:rPr>
        <w:t xml:space="preserve">Wolf, Margery. 1992. </w:t>
      </w:r>
      <w:r w:rsidRPr="00B206A0">
        <w:rPr>
          <w:rFonts w:cstheme="minorHAnsi"/>
          <w:i/>
          <w:sz w:val="24"/>
          <w:szCs w:val="24"/>
        </w:rPr>
        <w:t xml:space="preserve">A Thrice Told Tale: Feminism, Postmodernism, &amp; Ethnographic Responsibility. </w:t>
      </w:r>
      <w:r w:rsidRPr="00B206A0">
        <w:rPr>
          <w:rFonts w:cstheme="minorHAnsi"/>
          <w:sz w:val="24"/>
          <w:szCs w:val="24"/>
        </w:rPr>
        <w:t>Palo Alto, CA: Stanford University Press.</w:t>
      </w:r>
    </w:p>
    <w:p w:rsidR="00E015CE" w:rsidRPr="00B206A0" w:rsidRDefault="00E015CE" w:rsidP="00E015CE">
      <w:pPr>
        <w:tabs>
          <w:tab w:val="num" w:pos="1440"/>
        </w:tabs>
        <w:spacing w:after="0" w:line="240" w:lineRule="auto"/>
        <w:rPr>
          <w:rFonts w:cstheme="minorHAnsi"/>
          <w:sz w:val="24"/>
          <w:szCs w:val="24"/>
        </w:rPr>
      </w:pPr>
      <w:r w:rsidRPr="00B206A0">
        <w:rPr>
          <w:rFonts w:cstheme="minorHAnsi"/>
          <w:b/>
          <w:sz w:val="24"/>
          <w:szCs w:val="24"/>
        </w:rPr>
        <w:t>Methods and Writing Books, Not Required</w:t>
      </w:r>
      <w:r w:rsidRPr="00B206A0">
        <w:rPr>
          <w:rFonts w:cstheme="minorHAnsi"/>
          <w:sz w:val="24"/>
          <w:szCs w:val="24"/>
        </w:rPr>
        <w:t xml:space="preserve"> (the stuff of personal library building)</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Agar, Michael H. 1980. </w:t>
      </w:r>
      <w:r w:rsidRPr="00B206A0">
        <w:rPr>
          <w:rFonts w:cstheme="minorHAnsi"/>
          <w:i/>
          <w:sz w:val="24"/>
          <w:szCs w:val="24"/>
        </w:rPr>
        <w:t>The Professional Stranger</w:t>
      </w:r>
      <w:r w:rsidRPr="00B206A0">
        <w:rPr>
          <w:rFonts w:cstheme="minorHAnsi"/>
          <w:sz w:val="24"/>
          <w:szCs w:val="24"/>
        </w:rPr>
        <w:t>. New York: Academic Press.</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Becker, Howard S. 1998. </w:t>
      </w:r>
      <w:r w:rsidRPr="00B206A0">
        <w:rPr>
          <w:rFonts w:cstheme="minorHAnsi"/>
          <w:i/>
          <w:sz w:val="24"/>
          <w:szCs w:val="24"/>
        </w:rPr>
        <w:t>Tricks of the Trade</w:t>
      </w:r>
      <w:r w:rsidRPr="00B206A0">
        <w:rPr>
          <w:rFonts w:cstheme="minorHAnsi"/>
          <w:sz w:val="24"/>
          <w:szCs w:val="24"/>
        </w:rPr>
        <w:t>. University of Chicago Press.</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Becker, Howard S. 1986. </w:t>
      </w:r>
      <w:r w:rsidRPr="00B206A0">
        <w:rPr>
          <w:rFonts w:cstheme="minorHAnsi"/>
          <w:i/>
          <w:sz w:val="24"/>
          <w:szCs w:val="24"/>
        </w:rPr>
        <w:t>Writing for Social Scientists: How to Start and Finish Your Thesis, Book or Article</w:t>
      </w:r>
      <w:r w:rsidRPr="00B206A0">
        <w:rPr>
          <w:rFonts w:cstheme="minorHAnsi"/>
          <w:sz w:val="24"/>
          <w:szCs w:val="24"/>
        </w:rPr>
        <w:t>. University of Chicago Press.</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Charmaz, Kathy. 2006. </w:t>
      </w:r>
      <w:r w:rsidRPr="00B206A0">
        <w:rPr>
          <w:rFonts w:cstheme="minorHAnsi"/>
          <w:i/>
          <w:sz w:val="24"/>
          <w:szCs w:val="24"/>
        </w:rPr>
        <w:t>Constructing Grounded Theory: A Practical Guide through Qualitative Analysis</w:t>
      </w:r>
      <w:r w:rsidRPr="00B206A0">
        <w:rPr>
          <w:rFonts w:cstheme="minorHAnsi"/>
          <w:sz w:val="24"/>
          <w:szCs w:val="24"/>
        </w:rPr>
        <w:t>. Thousand Oaks, CA: Sage.</w:t>
      </w:r>
    </w:p>
    <w:p w:rsidR="00E015CE" w:rsidRPr="00B206A0" w:rsidRDefault="00E015CE" w:rsidP="00B206A0">
      <w:pPr>
        <w:numPr>
          <w:ilvl w:val="0"/>
          <w:numId w:val="6"/>
        </w:numPr>
        <w:spacing w:after="0" w:line="240" w:lineRule="auto"/>
        <w:rPr>
          <w:rFonts w:cstheme="minorHAnsi"/>
          <w:sz w:val="24"/>
          <w:szCs w:val="24"/>
        </w:rPr>
      </w:pPr>
      <w:r w:rsidRPr="00B206A0">
        <w:rPr>
          <w:rFonts w:cstheme="minorHAnsi"/>
          <w:sz w:val="24"/>
          <w:szCs w:val="24"/>
        </w:rPr>
        <w:t xml:space="preserve">Corbin, Juliet and Strauss, Anselm. 2008. </w:t>
      </w:r>
      <w:r w:rsidRPr="00B206A0">
        <w:rPr>
          <w:rFonts w:cstheme="minorHAnsi"/>
          <w:i/>
          <w:sz w:val="24"/>
          <w:szCs w:val="24"/>
        </w:rPr>
        <w:t>Basics of Qualitative Research 3e</w:t>
      </w:r>
      <w:r w:rsidRPr="00B206A0">
        <w:rPr>
          <w:rFonts w:cstheme="minorHAnsi"/>
          <w:sz w:val="24"/>
          <w:szCs w:val="24"/>
        </w:rPr>
        <w:t>. Thousand Oaks, CA: Sage.</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Knowles, Caroline and Sweetman, Paul. 2004. </w:t>
      </w:r>
      <w:r w:rsidRPr="00B206A0">
        <w:rPr>
          <w:rFonts w:cstheme="minorHAnsi"/>
          <w:i/>
          <w:sz w:val="24"/>
          <w:szCs w:val="24"/>
        </w:rPr>
        <w:t>Picturing the Social Landscape: Visual Methods and the Sociological Imagination</w:t>
      </w:r>
      <w:r w:rsidRPr="00B206A0">
        <w:rPr>
          <w:rFonts w:cstheme="minorHAnsi"/>
          <w:sz w:val="24"/>
          <w:szCs w:val="24"/>
        </w:rPr>
        <w:t>. London: Routledge.</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lastRenderedPageBreak/>
        <w:t xml:space="preserve">Miles, Matthew B. and Huberman, A. Michael. 1994. </w:t>
      </w:r>
      <w:r w:rsidRPr="00B206A0">
        <w:rPr>
          <w:rFonts w:cstheme="minorHAnsi"/>
          <w:i/>
          <w:sz w:val="24"/>
          <w:szCs w:val="24"/>
        </w:rPr>
        <w:t xml:space="preserve">Qualitative Data Analysis. </w:t>
      </w:r>
      <w:r w:rsidRPr="00B206A0">
        <w:rPr>
          <w:rFonts w:cstheme="minorHAnsi"/>
          <w:sz w:val="24"/>
          <w:szCs w:val="24"/>
        </w:rPr>
        <w:t>Thousand Oaks, CA: Sage.</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Spradley, James P. 1982. </w:t>
      </w:r>
      <w:r w:rsidRPr="00B206A0">
        <w:rPr>
          <w:rFonts w:cstheme="minorHAnsi"/>
          <w:i/>
          <w:sz w:val="24"/>
          <w:szCs w:val="24"/>
        </w:rPr>
        <w:t>The Ethnographic Interview</w:t>
      </w:r>
      <w:r w:rsidRPr="00B206A0">
        <w:rPr>
          <w:rFonts w:cstheme="minorHAnsi"/>
          <w:sz w:val="24"/>
          <w:szCs w:val="24"/>
        </w:rPr>
        <w:t>. New York: Holt, Rinehart and Winston.</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Strauss, Anselm. 1987. </w:t>
      </w:r>
      <w:r w:rsidRPr="00B206A0">
        <w:rPr>
          <w:rFonts w:cstheme="minorHAnsi"/>
          <w:i/>
          <w:sz w:val="24"/>
          <w:szCs w:val="24"/>
        </w:rPr>
        <w:t>Qualitative Analysis for Social Scientists</w:t>
      </w:r>
      <w:r w:rsidRPr="00B206A0">
        <w:rPr>
          <w:rFonts w:cstheme="minorHAnsi"/>
          <w:sz w:val="24"/>
          <w:szCs w:val="24"/>
        </w:rPr>
        <w:t>. New York: Cambridge University Press.</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Thurman, Susan. 2003. </w:t>
      </w:r>
      <w:r w:rsidRPr="00B206A0">
        <w:rPr>
          <w:rFonts w:cstheme="minorHAnsi"/>
          <w:i/>
          <w:sz w:val="24"/>
          <w:szCs w:val="24"/>
        </w:rPr>
        <w:t>The Only Grammar Book You’ll Ever Need: A One-Stop Source for Every Writing Assignment</w:t>
      </w:r>
      <w:r w:rsidRPr="00B206A0">
        <w:rPr>
          <w:rFonts w:cstheme="minorHAnsi"/>
          <w:sz w:val="24"/>
          <w:szCs w:val="24"/>
        </w:rPr>
        <w:t>. Avon, Mass.: Adams Media.</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Van Maanen, John. 1988. </w:t>
      </w:r>
      <w:r w:rsidRPr="00B206A0">
        <w:rPr>
          <w:rFonts w:cstheme="minorHAnsi"/>
          <w:i/>
          <w:sz w:val="24"/>
          <w:szCs w:val="24"/>
        </w:rPr>
        <w:t>Tales of the Field: On Writing Ethnography</w:t>
      </w:r>
      <w:r w:rsidRPr="00B206A0">
        <w:rPr>
          <w:rFonts w:cstheme="minorHAnsi"/>
          <w:sz w:val="24"/>
          <w:szCs w:val="24"/>
        </w:rPr>
        <w:t>. Chicago: University of Chicago Press.</w:t>
      </w:r>
    </w:p>
    <w:p w:rsidR="00E015CE"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Wolcott, Harry. 1990. </w:t>
      </w:r>
      <w:r w:rsidRPr="00B206A0">
        <w:rPr>
          <w:rFonts w:cstheme="minorHAnsi"/>
          <w:i/>
          <w:sz w:val="24"/>
          <w:szCs w:val="24"/>
        </w:rPr>
        <w:t>Writing Up Qualitative Research</w:t>
      </w:r>
      <w:r w:rsidRPr="00B206A0">
        <w:rPr>
          <w:rFonts w:cstheme="minorHAnsi"/>
          <w:sz w:val="24"/>
          <w:szCs w:val="24"/>
        </w:rPr>
        <w:t>. Newbury Park, CA: Sage Publications.</w:t>
      </w:r>
    </w:p>
    <w:p w:rsidR="007C1BC9" w:rsidRPr="00B206A0" w:rsidRDefault="00E015CE" w:rsidP="00B206A0">
      <w:pPr>
        <w:pStyle w:val="ListParagraph"/>
        <w:numPr>
          <w:ilvl w:val="0"/>
          <w:numId w:val="6"/>
        </w:numPr>
        <w:tabs>
          <w:tab w:val="num" w:pos="1440"/>
        </w:tabs>
        <w:spacing w:after="0" w:line="240" w:lineRule="auto"/>
        <w:rPr>
          <w:rFonts w:cstheme="minorHAnsi"/>
          <w:sz w:val="24"/>
          <w:szCs w:val="24"/>
        </w:rPr>
      </w:pPr>
      <w:r w:rsidRPr="00B206A0">
        <w:rPr>
          <w:rFonts w:cstheme="minorHAnsi"/>
          <w:sz w:val="24"/>
          <w:szCs w:val="24"/>
        </w:rPr>
        <w:t xml:space="preserve">Zinsser, William. 2001/1976. </w:t>
      </w:r>
      <w:r w:rsidRPr="00B206A0">
        <w:rPr>
          <w:rFonts w:cstheme="minorHAnsi"/>
          <w:i/>
          <w:sz w:val="24"/>
          <w:szCs w:val="24"/>
        </w:rPr>
        <w:t>On Writing Well: The Classic Guide to Writing Nonfiction</w:t>
      </w:r>
      <w:r w:rsidRPr="00B206A0">
        <w:rPr>
          <w:rFonts w:cstheme="minorHAnsi"/>
          <w:sz w:val="24"/>
          <w:szCs w:val="24"/>
        </w:rPr>
        <w:t>. New York: Harper Collins.</w:t>
      </w:r>
    </w:p>
    <w:p w:rsidR="007C1BC9" w:rsidRPr="00B206A0" w:rsidRDefault="007C1BC9" w:rsidP="00B206A0">
      <w:pPr>
        <w:ind w:left="720"/>
        <w:rPr>
          <w:rFonts w:cstheme="minorHAnsi"/>
          <w:sz w:val="24"/>
          <w:szCs w:val="24"/>
        </w:rPr>
        <w:sectPr w:rsidR="007C1BC9" w:rsidRPr="00B206A0" w:rsidSect="00152025">
          <w:type w:val="continuous"/>
          <w:pgSz w:w="12240" w:h="15840"/>
          <w:pgMar w:top="1440" w:right="1440" w:bottom="1440" w:left="1440" w:header="720" w:footer="720" w:gutter="0"/>
          <w:cols w:space="720"/>
          <w:docGrid w:linePitch="360"/>
        </w:sectPr>
      </w:pPr>
    </w:p>
    <w:p w:rsidR="00EC44D7" w:rsidRPr="009358A9" w:rsidRDefault="009358A9" w:rsidP="009358A9">
      <w:pPr>
        <w:jc w:val="center"/>
        <w:rPr>
          <w:rFonts w:cstheme="minorHAnsi"/>
          <w:b/>
          <w:sz w:val="28"/>
          <w:szCs w:val="28"/>
        </w:rPr>
      </w:pPr>
      <w:r w:rsidRPr="009358A9">
        <w:rPr>
          <w:rFonts w:cstheme="minorHAnsi"/>
          <w:b/>
          <w:sz w:val="28"/>
          <w:szCs w:val="28"/>
        </w:rPr>
        <w:lastRenderedPageBreak/>
        <w:t>Course Schedule</w:t>
      </w:r>
    </w:p>
    <w:p w:rsidR="009358A9" w:rsidRPr="00317978" w:rsidRDefault="009358A9">
      <w:pPr>
        <w:rPr>
          <w:rFonts w:cstheme="minorHAnsi"/>
        </w:rPr>
      </w:pPr>
    </w:p>
    <w:tbl>
      <w:tblPr>
        <w:tblStyle w:val="TableGrid"/>
        <w:tblW w:w="0" w:type="auto"/>
        <w:tblLook w:val="04A0" w:firstRow="1" w:lastRow="0" w:firstColumn="1" w:lastColumn="0" w:noHBand="0" w:noVBand="1"/>
      </w:tblPr>
      <w:tblGrid>
        <w:gridCol w:w="558"/>
        <w:gridCol w:w="2340"/>
        <w:gridCol w:w="5400"/>
        <w:gridCol w:w="2340"/>
        <w:gridCol w:w="2430"/>
      </w:tblGrid>
      <w:tr w:rsidR="00EC44D7" w:rsidRPr="00317978" w:rsidTr="006C099D">
        <w:tc>
          <w:tcPr>
            <w:tcW w:w="558" w:type="dxa"/>
          </w:tcPr>
          <w:p w:rsidR="00EC44D7" w:rsidRPr="00317978" w:rsidRDefault="00EC44D7">
            <w:pPr>
              <w:rPr>
                <w:rFonts w:cstheme="minorHAnsi"/>
              </w:rPr>
            </w:pPr>
            <w:r w:rsidRPr="00317978">
              <w:rPr>
                <w:rFonts w:cstheme="minorHAnsi"/>
              </w:rPr>
              <w:t>Wk</w:t>
            </w:r>
          </w:p>
        </w:tc>
        <w:tc>
          <w:tcPr>
            <w:tcW w:w="2340" w:type="dxa"/>
          </w:tcPr>
          <w:p w:rsidR="00EC44D7" w:rsidRPr="00317978" w:rsidRDefault="00EC44D7">
            <w:pPr>
              <w:rPr>
                <w:rFonts w:cstheme="minorHAnsi"/>
              </w:rPr>
            </w:pPr>
            <w:r w:rsidRPr="00317978">
              <w:rPr>
                <w:rFonts w:cstheme="minorHAnsi"/>
              </w:rPr>
              <w:t>Topic</w:t>
            </w:r>
          </w:p>
        </w:tc>
        <w:tc>
          <w:tcPr>
            <w:tcW w:w="5400" w:type="dxa"/>
          </w:tcPr>
          <w:p w:rsidR="00EC44D7" w:rsidRPr="00317978" w:rsidRDefault="007C23E8">
            <w:pPr>
              <w:rPr>
                <w:rFonts w:cstheme="minorHAnsi"/>
              </w:rPr>
            </w:pPr>
            <w:r w:rsidRPr="00317978">
              <w:rPr>
                <w:rFonts w:cstheme="minorHAnsi"/>
              </w:rPr>
              <w:t>Reading</w:t>
            </w:r>
          </w:p>
        </w:tc>
        <w:tc>
          <w:tcPr>
            <w:tcW w:w="2340" w:type="dxa"/>
          </w:tcPr>
          <w:p w:rsidR="00EC44D7" w:rsidRPr="00317978" w:rsidRDefault="00EC44D7">
            <w:pPr>
              <w:rPr>
                <w:rFonts w:cstheme="minorHAnsi"/>
              </w:rPr>
            </w:pPr>
            <w:r w:rsidRPr="00317978">
              <w:rPr>
                <w:rFonts w:cstheme="minorHAnsi"/>
              </w:rPr>
              <w:t>Fieldwork</w:t>
            </w:r>
          </w:p>
        </w:tc>
        <w:tc>
          <w:tcPr>
            <w:tcW w:w="2430" w:type="dxa"/>
          </w:tcPr>
          <w:p w:rsidR="00EC44D7" w:rsidRPr="00317978" w:rsidRDefault="00EC44D7">
            <w:pPr>
              <w:rPr>
                <w:rFonts w:cstheme="minorHAnsi"/>
              </w:rPr>
            </w:pPr>
            <w:r w:rsidRPr="00317978">
              <w:rPr>
                <w:rFonts w:cstheme="minorHAnsi"/>
              </w:rPr>
              <w:t>Due</w:t>
            </w:r>
          </w:p>
        </w:tc>
      </w:tr>
      <w:tr w:rsidR="00EC44D7" w:rsidRPr="00317978" w:rsidTr="006C099D">
        <w:tc>
          <w:tcPr>
            <w:tcW w:w="558" w:type="dxa"/>
          </w:tcPr>
          <w:p w:rsidR="00EC44D7" w:rsidRPr="00317978" w:rsidRDefault="00EC44D7">
            <w:pPr>
              <w:rPr>
                <w:rFonts w:cstheme="minorHAnsi"/>
              </w:rPr>
            </w:pPr>
            <w:r w:rsidRPr="00317978">
              <w:rPr>
                <w:rFonts w:cstheme="minorHAnsi"/>
              </w:rPr>
              <w:t>1</w:t>
            </w:r>
          </w:p>
        </w:tc>
        <w:tc>
          <w:tcPr>
            <w:tcW w:w="2340" w:type="dxa"/>
          </w:tcPr>
          <w:p w:rsidR="00EC44D7" w:rsidRPr="00317978" w:rsidRDefault="00EC44D7">
            <w:pPr>
              <w:rPr>
                <w:rFonts w:cstheme="minorHAnsi"/>
              </w:rPr>
            </w:pPr>
            <w:r w:rsidRPr="00317978">
              <w:rPr>
                <w:rFonts w:cstheme="minorHAnsi"/>
              </w:rPr>
              <w:t>Why ethnography, what ethnography?</w:t>
            </w:r>
          </w:p>
        </w:tc>
        <w:tc>
          <w:tcPr>
            <w:tcW w:w="5400" w:type="dxa"/>
          </w:tcPr>
          <w:p w:rsidR="00BB6BB1" w:rsidRPr="00317978" w:rsidRDefault="00BB6BB1">
            <w:pPr>
              <w:rPr>
                <w:rFonts w:cstheme="minorHAnsi"/>
              </w:rPr>
            </w:pPr>
            <w:r w:rsidRPr="00317978">
              <w:rPr>
                <w:rFonts w:cstheme="minorHAnsi"/>
              </w:rPr>
              <w:t>Weiss, Ch. 1</w:t>
            </w:r>
          </w:p>
          <w:p w:rsidR="00EC44D7" w:rsidRPr="00317978" w:rsidRDefault="001B2EDA">
            <w:pPr>
              <w:rPr>
                <w:rFonts w:cstheme="minorHAnsi"/>
              </w:rPr>
            </w:pPr>
            <w:r w:rsidRPr="00317978">
              <w:rPr>
                <w:rFonts w:cstheme="minorHAnsi"/>
              </w:rPr>
              <w:t>Emerson et al. Ch. 1</w:t>
            </w:r>
          </w:p>
          <w:p w:rsidR="00BB6BB1" w:rsidRDefault="00BB6BB1" w:rsidP="00BB6BB1">
            <w:pPr>
              <w:rPr>
                <w:rFonts w:cstheme="minorHAnsi"/>
              </w:rPr>
            </w:pPr>
            <w:r w:rsidRPr="00317978">
              <w:rPr>
                <w:rFonts w:cstheme="minorHAnsi"/>
              </w:rPr>
              <w:t>Becker, “Epistemology”</w:t>
            </w:r>
          </w:p>
          <w:p w:rsidR="00F353F8" w:rsidRPr="00317978" w:rsidRDefault="00F353F8" w:rsidP="00BB6BB1">
            <w:pPr>
              <w:rPr>
                <w:rFonts w:cstheme="minorHAnsi"/>
              </w:rPr>
            </w:pPr>
            <w:r>
              <w:rPr>
                <w:rFonts w:cstheme="minorHAnsi"/>
              </w:rPr>
              <w:t>Fine, “Ten Lies of Ethnography”</w:t>
            </w:r>
          </w:p>
          <w:p w:rsidR="006C099D" w:rsidRPr="00317978" w:rsidRDefault="006C099D" w:rsidP="003D373B">
            <w:pPr>
              <w:rPr>
                <w:rFonts w:cstheme="minorHAnsi"/>
              </w:rPr>
            </w:pPr>
          </w:p>
        </w:tc>
        <w:tc>
          <w:tcPr>
            <w:tcW w:w="2340" w:type="dxa"/>
          </w:tcPr>
          <w:p w:rsidR="00EC44D7" w:rsidRPr="00317978" w:rsidRDefault="00EC44D7">
            <w:pPr>
              <w:rPr>
                <w:rFonts w:cstheme="minorHAnsi"/>
              </w:rPr>
            </w:pPr>
          </w:p>
        </w:tc>
        <w:tc>
          <w:tcPr>
            <w:tcW w:w="2430" w:type="dxa"/>
          </w:tcPr>
          <w:p w:rsidR="00EC44D7" w:rsidRPr="00317978" w:rsidRDefault="00EC44D7">
            <w:pPr>
              <w:rPr>
                <w:rFonts w:cstheme="minorHAnsi"/>
              </w:rPr>
            </w:pPr>
          </w:p>
        </w:tc>
      </w:tr>
      <w:tr w:rsidR="00EC44D7" w:rsidRPr="00317978" w:rsidTr="006C099D">
        <w:tc>
          <w:tcPr>
            <w:tcW w:w="558" w:type="dxa"/>
          </w:tcPr>
          <w:p w:rsidR="00EC44D7" w:rsidRPr="00317978" w:rsidRDefault="00EC44D7">
            <w:pPr>
              <w:rPr>
                <w:rFonts w:cstheme="minorHAnsi"/>
              </w:rPr>
            </w:pPr>
            <w:r w:rsidRPr="00317978">
              <w:rPr>
                <w:rFonts w:cstheme="minorHAnsi"/>
              </w:rPr>
              <w:t>2</w:t>
            </w:r>
          </w:p>
        </w:tc>
        <w:tc>
          <w:tcPr>
            <w:tcW w:w="2340" w:type="dxa"/>
          </w:tcPr>
          <w:p w:rsidR="00EC44D7" w:rsidRDefault="00804542">
            <w:pPr>
              <w:rPr>
                <w:rFonts w:cstheme="minorHAnsi"/>
              </w:rPr>
            </w:pPr>
            <w:r w:rsidRPr="00317978">
              <w:rPr>
                <w:rFonts w:cstheme="minorHAnsi"/>
              </w:rPr>
              <w:t xml:space="preserve">Conducting </w:t>
            </w:r>
            <w:r w:rsidR="00EC44D7" w:rsidRPr="00317978">
              <w:rPr>
                <w:rFonts w:cstheme="minorHAnsi"/>
              </w:rPr>
              <w:t>Observation</w:t>
            </w:r>
            <w:r w:rsidRPr="00317978">
              <w:rPr>
                <w:rFonts w:cstheme="minorHAnsi"/>
              </w:rPr>
              <w:t>s</w:t>
            </w:r>
          </w:p>
          <w:p w:rsidR="00F353F8" w:rsidRPr="00317978" w:rsidRDefault="00F353F8">
            <w:pPr>
              <w:rPr>
                <w:rFonts w:cstheme="minorHAnsi"/>
              </w:rPr>
            </w:pPr>
          </w:p>
        </w:tc>
        <w:tc>
          <w:tcPr>
            <w:tcW w:w="5400" w:type="dxa"/>
          </w:tcPr>
          <w:p w:rsidR="00EC44D7" w:rsidRPr="00317978" w:rsidRDefault="001B2EDA">
            <w:pPr>
              <w:rPr>
                <w:rFonts w:cstheme="minorHAnsi"/>
              </w:rPr>
            </w:pPr>
            <w:r w:rsidRPr="00317978">
              <w:rPr>
                <w:rFonts w:cstheme="minorHAnsi"/>
              </w:rPr>
              <w:t>Emerson et al. Ch. 2-5</w:t>
            </w:r>
          </w:p>
        </w:tc>
        <w:tc>
          <w:tcPr>
            <w:tcW w:w="2340" w:type="dxa"/>
          </w:tcPr>
          <w:p w:rsidR="00EC44D7" w:rsidRPr="00317978" w:rsidRDefault="00EC44D7">
            <w:pPr>
              <w:rPr>
                <w:rFonts w:cstheme="minorHAnsi"/>
              </w:rPr>
            </w:pPr>
            <w:r w:rsidRPr="00317978">
              <w:rPr>
                <w:rFonts w:cstheme="minorHAnsi"/>
              </w:rPr>
              <w:t>Intro to site</w:t>
            </w:r>
          </w:p>
          <w:p w:rsidR="006B30B7" w:rsidRPr="00317978" w:rsidRDefault="006B30B7">
            <w:pPr>
              <w:rPr>
                <w:rFonts w:cstheme="minorHAnsi"/>
              </w:rPr>
            </w:pPr>
            <w:r w:rsidRPr="00317978">
              <w:rPr>
                <w:rFonts w:cstheme="minorHAnsi"/>
              </w:rPr>
              <w:t>Build HU</w:t>
            </w:r>
          </w:p>
        </w:tc>
        <w:tc>
          <w:tcPr>
            <w:tcW w:w="2430" w:type="dxa"/>
          </w:tcPr>
          <w:p w:rsidR="00EC44D7" w:rsidRPr="00317978" w:rsidRDefault="00EC44D7">
            <w:pPr>
              <w:rPr>
                <w:rFonts w:cstheme="minorHAnsi"/>
              </w:rPr>
            </w:pPr>
          </w:p>
        </w:tc>
      </w:tr>
      <w:tr w:rsidR="0046348B" w:rsidRPr="00317978" w:rsidTr="006C099D">
        <w:tc>
          <w:tcPr>
            <w:tcW w:w="558" w:type="dxa"/>
          </w:tcPr>
          <w:p w:rsidR="0046348B" w:rsidRPr="00317978" w:rsidRDefault="0046348B">
            <w:pPr>
              <w:rPr>
                <w:rFonts w:cstheme="minorHAnsi"/>
              </w:rPr>
            </w:pPr>
            <w:r w:rsidRPr="00317978">
              <w:rPr>
                <w:rFonts w:cstheme="minorHAnsi"/>
              </w:rPr>
              <w:t>3</w:t>
            </w:r>
          </w:p>
        </w:tc>
        <w:tc>
          <w:tcPr>
            <w:tcW w:w="2340" w:type="dxa"/>
          </w:tcPr>
          <w:p w:rsidR="0046348B" w:rsidRDefault="0046348B" w:rsidP="002C3510">
            <w:pPr>
              <w:rPr>
                <w:rFonts w:cstheme="minorHAnsi"/>
              </w:rPr>
            </w:pPr>
            <w:r w:rsidRPr="00317978">
              <w:rPr>
                <w:rFonts w:cstheme="minorHAnsi"/>
              </w:rPr>
              <w:t>Research Design, Site Selection, Negotiating Access</w:t>
            </w:r>
            <w:r w:rsidR="002C3510" w:rsidRPr="00317978">
              <w:rPr>
                <w:rFonts w:cstheme="minorHAnsi"/>
              </w:rPr>
              <w:t>, and the IRB</w:t>
            </w:r>
          </w:p>
          <w:p w:rsidR="00F353F8" w:rsidRPr="00317978" w:rsidRDefault="00F353F8" w:rsidP="002C3510">
            <w:pPr>
              <w:rPr>
                <w:rFonts w:cstheme="minorHAnsi"/>
              </w:rPr>
            </w:pPr>
          </w:p>
        </w:tc>
        <w:tc>
          <w:tcPr>
            <w:tcW w:w="5400" w:type="dxa"/>
          </w:tcPr>
          <w:p w:rsidR="0046348B" w:rsidRPr="00317978" w:rsidRDefault="001B2EDA">
            <w:pPr>
              <w:rPr>
                <w:rFonts w:cstheme="minorHAnsi"/>
              </w:rPr>
            </w:pPr>
            <w:r w:rsidRPr="00317978">
              <w:rPr>
                <w:rFonts w:cstheme="minorHAnsi"/>
              </w:rPr>
              <w:t>Weiss, Ch. 2</w:t>
            </w:r>
          </w:p>
          <w:p w:rsidR="00885DBC" w:rsidRDefault="00885DBC">
            <w:pPr>
              <w:rPr>
                <w:rFonts w:cstheme="minorHAnsi"/>
              </w:rPr>
            </w:pPr>
            <w:r w:rsidRPr="00317978">
              <w:rPr>
                <w:rFonts w:cstheme="minorHAnsi"/>
              </w:rPr>
              <w:t>Hannerz, “Being There…and There”</w:t>
            </w:r>
          </w:p>
          <w:p w:rsidR="006C099D" w:rsidRPr="00317978" w:rsidRDefault="006C099D">
            <w:pPr>
              <w:rPr>
                <w:rFonts w:cstheme="minorHAnsi"/>
              </w:rPr>
            </w:pPr>
          </w:p>
        </w:tc>
        <w:tc>
          <w:tcPr>
            <w:tcW w:w="2340" w:type="dxa"/>
          </w:tcPr>
          <w:p w:rsidR="0046348B" w:rsidRPr="00317978" w:rsidRDefault="0046348B">
            <w:pPr>
              <w:rPr>
                <w:rFonts w:cstheme="minorHAnsi"/>
              </w:rPr>
            </w:pPr>
            <w:r w:rsidRPr="00317978">
              <w:rPr>
                <w:rFonts w:cstheme="minorHAnsi"/>
              </w:rPr>
              <w:t>Conduct 1</w:t>
            </w:r>
            <w:r w:rsidRPr="00317978">
              <w:rPr>
                <w:rFonts w:cstheme="minorHAnsi"/>
                <w:vertAlign w:val="superscript"/>
              </w:rPr>
              <w:t>st</w:t>
            </w:r>
            <w:r w:rsidR="002C3510" w:rsidRPr="00317978">
              <w:rPr>
                <w:rFonts w:cstheme="minorHAnsi"/>
              </w:rPr>
              <w:t xml:space="preserve"> </w:t>
            </w:r>
            <w:r w:rsidRPr="00317978">
              <w:rPr>
                <w:rFonts w:cstheme="minorHAnsi"/>
              </w:rPr>
              <w:t>obs</w:t>
            </w:r>
          </w:p>
          <w:p w:rsidR="006B30B7" w:rsidRPr="00317978" w:rsidRDefault="006B30B7">
            <w:pPr>
              <w:rPr>
                <w:rFonts w:cstheme="minorHAnsi"/>
              </w:rPr>
            </w:pPr>
          </w:p>
        </w:tc>
        <w:tc>
          <w:tcPr>
            <w:tcW w:w="2430" w:type="dxa"/>
          </w:tcPr>
          <w:p w:rsidR="0046348B" w:rsidRPr="00317978" w:rsidRDefault="00595F3B">
            <w:pPr>
              <w:rPr>
                <w:rFonts w:cstheme="minorHAnsi"/>
              </w:rPr>
            </w:pPr>
            <w:r>
              <w:rPr>
                <w:rFonts w:cstheme="minorHAnsi"/>
              </w:rPr>
              <w:t xml:space="preserve">  </w:t>
            </w:r>
          </w:p>
        </w:tc>
      </w:tr>
      <w:tr w:rsidR="005005B6" w:rsidRPr="00317978" w:rsidTr="006C099D">
        <w:tc>
          <w:tcPr>
            <w:tcW w:w="558" w:type="dxa"/>
          </w:tcPr>
          <w:p w:rsidR="005005B6" w:rsidRPr="00317978" w:rsidRDefault="005005B6">
            <w:pPr>
              <w:rPr>
                <w:rFonts w:cstheme="minorHAnsi"/>
              </w:rPr>
            </w:pPr>
            <w:r>
              <w:rPr>
                <w:rFonts w:cstheme="minorHAnsi"/>
              </w:rPr>
              <w:t>4</w:t>
            </w:r>
          </w:p>
        </w:tc>
        <w:tc>
          <w:tcPr>
            <w:tcW w:w="2340" w:type="dxa"/>
          </w:tcPr>
          <w:p w:rsidR="005005B6" w:rsidRPr="00317978" w:rsidRDefault="005005B6" w:rsidP="00A14A78">
            <w:pPr>
              <w:rPr>
                <w:rFonts w:cstheme="minorHAnsi"/>
              </w:rPr>
            </w:pPr>
            <w:r>
              <w:rPr>
                <w:rFonts w:cstheme="minorHAnsi"/>
              </w:rPr>
              <w:t>Data Management</w:t>
            </w:r>
          </w:p>
        </w:tc>
        <w:tc>
          <w:tcPr>
            <w:tcW w:w="5400" w:type="dxa"/>
          </w:tcPr>
          <w:p w:rsidR="005005B6" w:rsidRDefault="005005B6">
            <w:pPr>
              <w:rPr>
                <w:rFonts w:cstheme="minorHAnsi"/>
              </w:rPr>
            </w:pPr>
          </w:p>
          <w:p w:rsidR="005005B6" w:rsidRDefault="005005B6" w:rsidP="00595F3B">
            <w:pPr>
              <w:shd w:val="clear" w:color="auto" w:fill="D9D9D9" w:themeFill="background1" w:themeFillShade="D9"/>
              <w:rPr>
                <w:rFonts w:cstheme="minorHAnsi"/>
              </w:rPr>
            </w:pPr>
            <w:r>
              <w:rPr>
                <w:rFonts w:cstheme="minorHAnsi"/>
              </w:rPr>
              <w:t>Ethnography Example: Read this community of practice ethnography with an eye towards how the author tells a tale.</w:t>
            </w:r>
          </w:p>
          <w:p w:rsidR="005005B6" w:rsidRDefault="005005B6" w:rsidP="00595F3B">
            <w:pPr>
              <w:shd w:val="clear" w:color="auto" w:fill="D9D9D9" w:themeFill="background1" w:themeFillShade="D9"/>
              <w:rPr>
                <w:rFonts w:cstheme="minorHAnsi"/>
              </w:rPr>
            </w:pPr>
          </w:p>
          <w:p w:rsidR="005005B6" w:rsidRDefault="005005B6" w:rsidP="00595F3B">
            <w:pPr>
              <w:shd w:val="clear" w:color="auto" w:fill="D9D9D9" w:themeFill="background1" w:themeFillShade="D9"/>
              <w:rPr>
                <w:rFonts w:cstheme="minorHAnsi"/>
              </w:rPr>
            </w:pPr>
            <w:r>
              <w:rPr>
                <w:rFonts w:cstheme="minorHAnsi"/>
              </w:rPr>
              <w:t>Orr, Talking to Machines.</w:t>
            </w:r>
          </w:p>
          <w:p w:rsidR="005005B6" w:rsidRPr="00317978" w:rsidRDefault="005005B6">
            <w:pPr>
              <w:rPr>
                <w:rFonts w:cstheme="minorHAnsi"/>
              </w:rPr>
            </w:pPr>
          </w:p>
        </w:tc>
        <w:tc>
          <w:tcPr>
            <w:tcW w:w="2340" w:type="dxa"/>
          </w:tcPr>
          <w:p w:rsidR="005005B6" w:rsidRPr="00317978" w:rsidRDefault="005005B6" w:rsidP="00E015CE">
            <w:pPr>
              <w:rPr>
                <w:rFonts w:cstheme="minorHAnsi"/>
              </w:rPr>
            </w:pPr>
            <w:r w:rsidRPr="00317978">
              <w:rPr>
                <w:rFonts w:cstheme="minorHAnsi"/>
              </w:rPr>
              <w:t>Conduct 2</w:t>
            </w:r>
            <w:r w:rsidRPr="00317978">
              <w:rPr>
                <w:rFonts w:cstheme="minorHAnsi"/>
                <w:vertAlign w:val="superscript"/>
              </w:rPr>
              <w:t>nd</w:t>
            </w:r>
            <w:r w:rsidRPr="00317978">
              <w:rPr>
                <w:rFonts w:cstheme="minorHAnsi"/>
              </w:rPr>
              <w:t xml:space="preserve"> obs</w:t>
            </w:r>
          </w:p>
        </w:tc>
        <w:tc>
          <w:tcPr>
            <w:tcW w:w="2430" w:type="dxa"/>
          </w:tcPr>
          <w:p w:rsidR="005005B6" w:rsidRPr="00317978" w:rsidRDefault="005005B6" w:rsidP="00E015CE">
            <w:pPr>
              <w:rPr>
                <w:rFonts w:cstheme="minorHAnsi"/>
              </w:rPr>
            </w:pPr>
            <w:r w:rsidRPr="00317978">
              <w:rPr>
                <w:rFonts w:cstheme="minorHAnsi"/>
              </w:rPr>
              <w:t>1</w:t>
            </w:r>
            <w:r w:rsidRPr="00317978">
              <w:rPr>
                <w:rFonts w:cstheme="minorHAnsi"/>
                <w:vertAlign w:val="superscript"/>
              </w:rPr>
              <w:t>st</w:t>
            </w:r>
            <w:r w:rsidRPr="00317978">
              <w:rPr>
                <w:rFonts w:cstheme="minorHAnsi"/>
              </w:rPr>
              <w:t xml:space="preserve"> notes in HU</w:t>
            </w:r>
          </w:p>
        </w:tc>
      </w:tr>
      <w:tr w:rsidR="005005B6" w:rsidRPr="00317978" w:rsidTr="006C099D">
        <w:tc>
          <w:tcPr>
            <w:tcW w:w="558" w:type="dxa"/>
          </w:tcPr>
          <w:p w:rsidR="005005B6" w:rsidRPr="00317978" w:rsidRDefault="005005B6">
            <w:pPr>
              <w:rPr>
                <w:rFonts w:cstheme="minorHAnsi"/>
              </w:rPr>
            </w:pPr>
            <w:r w:rsidRPr="00317978">
              <w:rPr>
                <w:rFonts w:cstheme="minorHAnsi"/>
              </w:rPr>
              <w:t>5</w:t>
            </w:r>
          </w:p>
        </w:tc>
        <w:tc>
          <w:tcPr>
            <w:tcW w:w="2340" w:type="dxa"/>
          </w:tcPr>
          <w:p w:rsidR="005005B6" w:rsidRPr="00317978" w:rsidRDefault="005005B6" w:rsidP="00A14A78">
            <w:pPr>
              <w:rPr>
                <w:rFonts w:cstheme="minorHAnsi"/>
              </w:rPr>
            </w:pPr>
            <w:r w:rsidRPr="00317978">
              <w:rPr>
                <w:rFonts w:cstheme="minorHAnsi"/>
              </w:rPr>
              <w:t>Workshop: Reading Your Early Fieldnotes</w:t>
            </w:r>
          </w:p>
        </w:tc>
        <w:tc>
          <w:tcPr>
            <w:tcW w:w="5400" w:type="dxa"/>
          </w:tcPr>
          <w:p w:rsidR="005005B6" w:rsidRPr="00317978" w:rsidRDefault="00595F3B">
            <w:pPr>
              <w:rPr>
                <w:rFonts w:cstheme="minorHAnsi"/>
              </w:rPr>
            </w:pPr>
            <w:r>
              <w:rPr>
                <w:rFonts w:cstheme="minorHAnsi"/>
              </w:rPr>
              <w:t>If you have a book report due, you have no other reading. If you do not, please read at least five sets of field notes other than your own.</w:t>
            </w:r>
          </w:p>
        </w:tc>
        <w:tc>
          <w:tcPr>
            <w:tcW w:w="2340" w:type="dxa"/>
          </w:tcPr>
          <w:p w:rsidR="005005B6" w:rsidRPr="00317978" w:rsidRDefault="005005B6" w:rsidP="00A14A78">
            <w:pPr>
              <w:rPr>
                <w:rFonts w:cstheme="minorHAnsi"/>
              </w:rPr>
            </w:pPr>
            <w:r w:rsidRPr="00317978">
              <w:rPr>
                <w:rFonts w:cstheme="minorHAnsi"/>
              </w:rPr>
              <w:t>Conduct 3</w:t>
            </w:r>
            <w:r w:rsidRPr="00317978">
              <w:rPr>
                <w:rFonts w:cstheme="minorHAnsi"/>
                <w:vertAlign w:val="superscript"/>
              </w:rPr>
              <w:t>rd</w:t>
            </w:r>
            <w:r w:rsidRPr="00317978">
              <w:rPr>
                <w:rFonts w:cstheme="minorHAnsi"/>
              </w:rPr>
              <w:t xml:space="preserve"> obs</w:t>
            </w:r>
          </w:p>
        </w:tc>
        <w:tc>
          <w:tcPr>
            <w:tcW w:w="2430" w:type="dxa"/>
          </w:tcPr>
          <w:p w:rsidR="005005B6" w:rsidRDefault="005005B6">
            <w:pPr>
              <w:rPr>
                <w:rFonts w:cstheme="minorHAnsi"/>
              </w:rPr>
            </w:pPr>
            <w:r w:rsidRPr="00317978">
              <w:rPr>
                <w:rFonts w:cstheme="minorHAnsi"/>
              </w:rPr>
              <w:t>2</w:t>
            </w:r>
            <w:r w:rsidRPr="00317978">
              <w:rPr>
                <w:rFonts w:cstheme="minorHAnsi"/>
                <w:vertAlign w:val="superscript"/>
              </w:rPr>
              <w:t>nd</w:t>
            </w:r>
            <w:r w:rsidRPr="00317978">
              <w:rPr>
                <w:rFonts w:cstheme="minorHAnsi"/>
              </w:rPr>
              <w:t xml:space="preserve"> notes in HU</w:t>
            </w:r>
          </w:p>
          <w:p w:rsidR="00595F3B" w:rsidRDefault="00595F3B">
            <w:pPr>
              <w:rPr>
                <w:rFonts w:cstheme="minorHAnsi"/>
              </w:rPr>
            </w:pPr>
          </w:p>
          <w:p w:rsidR="00595F3B" w:rsidRPr="00317978" w:rsidRDefault="00595F3B" w:rsidP="00595F3B">
            <w:pPr>
              <w:shd w:val="clear" w:color="auto" w:fill="D9D9D9" w:themeFill="background1" w:themeFillShade="D9"/>
              <w:rPr>
                <w:rFonts w:cstheme="minorHAnsi"/>
              </w:rPr>
            </w:pPr>
            <w:r>
              <w:rPr>
                <w:rFonts w:cstheme="minorHAnsi"/>
              </w:rPr>
              <w:t xml:space="preserve">Ethnography Examples: </w:t>
            </w:r>
            <w:r w:rsidRPr="00317978">
              <w:rPr>
                <w:rFonts w:cstheme="minorHAnsi"/>
              </w:rPr>
              <w:t>1</w:t>
            </w:r>
            <w:r w:rsidRPr="00317978">
              <w:rPr>
                <w:rFonts w:cstheme="minorHAnsi"/>
                <w:vertAlign w:val="superscript"/>
              </w:rPr>
              <w:t>st</w:t>
            </w:r>
            <w:r w:rsidRPr="00317978">
              <w:rPr>
                <w:rFonts w:cstheme="minorHAnsi"/>
              </w:rPr>
              <w:t xml:space="preserve"> round book reports</w:t>
            </w:r>
          </w:p>
          <w:p w:rsidR="005005B6" w:rsidRPr="00317978" w:rsidRDefault="005005B6">
            <w:pPr>
              <w:rPr>
                <w:rFonts w:cstheme="minorHAnsi"/>
              </w:rPr>
            </w:pPr>
          </w:p>
        </w:tc>
      </w:tr>
      <w:tr w:rsidR="005005B6" w:rsidRPr="00317978" w:rsidTr="006C099D">
        <w:tc>
          <w:tcPr>
            <w:tcW w:w="558" w:type="dxa"/>
          </w:tcPr>
          <w:p w:rsidR="005005B6" w:rsidRPr="00317978" w:rsidRDefault="005005B6">
            <w:pPr>
              <w:rPr>
                <w:rFonts w:cstheme="minorHAnsi"/>
              </w:rPr>
            </w:pPr>
            <w:r w:rsidRPr="00317978">
              <w:rPr>
                <w:rFonts w:cstheme="minorHAnsi"/>
              </w:rPr>
              <w:t>6</w:t>
            </w:r>
          </w:p>
        </w:tc>
        <w:tc>
          <w:tcPr>
            <w:tcW w:w="2340" w:type="dxa"/>
          </w:tcPr>
          <w:p w:rsidR="005005B6" w:rsidRPr="00317978" w:rsidRDefault="005005B6" w:rsidP="00A14A78">
            <w:pPr>
              <w:rPr>
                <w:rFonts w:cstheme="minorHAnsi"/>
              </w:rPr>
            </w:pPr>
            <w:r w:rsidRPr="00317978">
              <w:rPr>
                <w:rFonts w:cstheme="minorHAnsi"/>
              </w:rPr>
              <w:t>Coding, Emic versus Etic Approaches, Logs and Other Devices</w:t>
            </w:r>
          </w:p>
        </w:tc>
        <w:tc>
          <w:tcPr>
            <w:tcW w:w="5400" w:type="dxa"/>
          </w:tcPr>
          <w:p w:rsidR="005005B6" w:rsidRPr="00317978" w:rsidRDefault="005005B6">
            <w:pPr>
              <w:rPr>
                <w:rFonts w:cstheme="minorHAnsi"/>
              </w:rPr>
            </w:pPr>
            <w:r w:rsidRPr="00317978">
              <w:rPr>
                <w:rFonts w:cstheme="minorHAnsi"/>
              </w:rPr>
              <w:t>Emerson et al. Ch. 6</w:t>
            </w:r>
          </w:p>
          <w:p w:rsidR="005005B6" w:rsidRPr="00317978" w:rsidRDefault="005005B6">
            <w:pPr>
              <w:rPr>
                <w:rFonts w:cstheme="minorHAnsi"/>
              </w:rPr>
            </w:pPr>
            <w:r w:rsidRPr="00317978">
              <w:rPr>
                <w:rFonts w:cstheme="minorHAnsi"/>
              </w:rPr>
              <w:t>Weiss, Ch. 6</w:t>
            </w:r>
          </w:p>
          <w:p w:rsidR="005005B6" w:rsidRPr="00317978" w:rsidRDefault="005005B6">
            <w:pPr>
              <w:rPr>
                <w:rFonts w:cstheme="minorHAnsi"/>
              </w:rPr>
            </w:pPr>
            <w:r w:rsidRPr="00317978">
              <w:rPr>
                <w:rFonts w:cstheme="minorHAnsi"/>
              </w:rPr>
              <w:t>Corbin and Strauss, “Analyzing Data”</w:t>
            </w:r>
          </w:p>
          <w:p w:rsidR="00F353F8" w:rsidRDefault="005005B6">
            <w:pPr>
              <w:rPr>
                <w:rFonts w:cstheme="minorHAnsi"/>
              </w:rPr>
            </w:pPr>
            <w:r w:rsidRPr="00317978">
              <w:rPr>
                <w:rFonts w:cstheme="minorHAnsi"/>
              </w:rPr>
              <w:t>Hartel &amp; Thomson, “Visual Approaches”</w:t>
            </w:r>
          </w:p>
          <w:p w:rsidR="005005B6" w:rsidRPr="00317978" w:rsidRDefault="005005B6">
            <w:pPr>
              <w:rPr>
                <w:rFonts w:cstheme="minorHAnsi"/>
              </w:rPr>
            </w:pPr>
          </w:p>
        </w:tc>
        <w:tc>
          <w:tcPr>
            <w:tcW w:w="2340" w:type="dxa"/>
          </w:tcPr>
          <w:p w:rsidR="005005B6" w:rsidRPr="00317978" w:rsidRDefault="005005B6" w:rsidP="00BD0F8D">
            <w:pPr>
              <w:rPr>
                <w:rFonts w:cstheme="minorHAnsi"/>
              </w:rPr>
            </w:pPr>
            <w:r>
              <w:rPr>
                <w:rFonts w:cstheme="minorHAnsi"/>
              </w:rPr>
              <w:t>Code</w:t>
            </w:r>
          </w:p>
        </w:tc>
        <w:tc>
          <w:tcPr>
            <w:tcW w:w="2430" w:type="dxa"/>
          </w:tcPr>
          <w:p w:rsidR="005005B6" w:rsidRPr="00317978" w:rsidRDefault="005005B6">
            <w:pPr>
              <w:rPr>
                <w:rFonts w:cstheme="minorHAnsi"/>
              </w:rPr>
            </w:pPr>
            <w:r>
              <w:rPr>
                <w:rFonts w:cstheme="minorHAnsi"/>
              </w:rPr>
              <w:t>3</w:t>
            </w:r>
            <w:r w:rsidRPr="009358A9">
              <w:rPr>
                <w:rFonts w:cstheme="minorHAnsi"/>
                <w:vertAlign w:val="superscript"/>
              </w:rPr>
              <w:t xml:space="preserve">rd </w:t>
            </w:r>
            <w:r>
              <w:rPr>
                <w:rFonts w:cstheme="minorHAnsi"/>
              </w:rPr>
              <w:t>notes in HU</w:t>
            </w:r>
          </w:p>
        </w:tc>
      </w:tr>
      <w:tr w:rsidR="00595F3B" w:rsidRPr="00317978" w:rsidTr="006C099D">
        <w:tc>
          <w:tcPr>
            <w:tcW w:w="558" w:type="dxa"/>
          </w:tcPr>
          <w:p w:rsidR="00595F3B" w:rsidRPr="00317978" w:rsidRDefault="00595F3B" w:rsidP="00E015CE">
            <w:pPr>
              <w:rPr>
                <w:rFonts w:cstheme="minorHAnsi"/>
              </w:rPr>
            </w:pPr>
            <w:r w:rsidRPr="00317978">
              <w:rPr>
                <w:rFonts w:cstheme="minorHAnsi"/>
              </w:rPr>
              <w:lastRenderedPageBreak/>
              <w:t>7</w:t>
            </w:r>
          </w:p>
        </w:tc>
        <w:tc>
          <w:tcPr>
            <w:tcW w:w="2340" w:type="dxa"/>
          </w:tcPr>
          <w:p w:rsidR="00595F3B" w:rsidRPr="00317978" w:rsidRDefault="00595F3B" w:rsidP="00E015CE">
            <w:pPr>
              <w:rPr>
                <w:rFonts w:cstheme="minorHAnsi"/>
              </w:rPr>
            </w:pPr>
            <w:r w:rsidRPr="00317978">
              <w:rPr>
                <w:rFonts w:cstheme="minorHAnsi"/>
              </w:rPr>
              <w:t>Conducting Interviews</w:t>
            </w:r>
          </w:p>
        </w:tc>
        <w:tc>
          <w:tcPr>
            <w:tcW w:w="5400" w:type="dxa"/>
          </w:tcPr>
          <w:p w:rsidR="00595F3B" w:rsidRPr="00317978" w:rsidRDefault="00595F3B" w:rsidP="00E015CE">
            <w:pPr>
              <w:rPr>
                <w:rFonts w:cstheme="minorHAnsi"/>
              </w:rPr>
            </w:pPr>
            <w:r w:rsidRPr="00317978">
              <w:rPr>
                <w:rFonts w:cstheme="minorHAnsi"/>
              </w:rPr>
              <w:t>Weiss, Ch. 3-5</w:t>
            </w:r>
          </w:p>
          <w:p w:rsidR="00595F3B" w:rsidRDefault="00595F3B" w:rsidP="00E015CE">
            <w:pPr>
              <w:rPr>
                <w:rFonts w:cstheme="minorHAnsi"/>
              </w:rPr>
            </w:pPr>
            <w:r w:rsidRPr="00317978">
              <w:rPr>
                <w:rFonts w:cstheme="minorHAnsi"/>
              </w:rPr>
              <w:t>Sargent, “Local Musicians”</w:t>
            </w:r>
          </w:p>
          <w:p w:rsidR="00595F3B" w:rsidRPr="00317978" w:rsidRDefault="00595F3B" w:rsidP="00E015CE">
            <w:pPr>
              <w:rPr>
                <w:rFonts w:cstheme="minorHAnsi"/>
              </w:rPr>
            </w:pPr>
          </w:p>
          <w:p w:rsidR="00595F3B" w:rsidRDefault="00595F3B" w:rsidP="00E015CE">
            <w:pPr>
              <w:shd w:val="clear" w:color="auto" w:fill="DDDDDD"/>
              <w:rPr>
                <w:rFonts w:cstheme="minorHAnsi"/>
              </w:rPr>
            </w:pPr>
            <w:r>
              <w:rPr>
                <w:rFonts w:cstheme="minorHAnsi"/>
              </w:rPr>
              <w:t xml:space="preserve">Ethnography Examples: </w:t>
            </w:r>
            <w:r w:rsidR="00F353F8">
              <w:rPr>
                <w:rFonts w:cstheme="minorHAnsi"/>
              </w:rPr>
              <w:t xml:space="preserve"> </w:t>
            </w:r>
            <w:r>
              <w:rPr>
                <w:rFonts w:cstheme="minorHAnsi"/>
              </w:rPr>
              <w:t xml:space="preserve">Read these information studies papers with </w:t>
            </w:r>
            <w:r w:rsidR="00F353F8">
              <w:rPr>
                <w:rFonts w:cstheme="minorHAnsi"/>
              </w:rPr>
              <w:t>an</w:t>
            </w:r>
            <w:r>
              <w:rPr>
                <w:rFonts w:cstheme="minorHAnsi"/>
              </w:rPr>
              <w:t xml:space="preserve"> eye to</w:t>
            </w:r>
            <w:r w:rsidR="00F353F8">
              <w:rPr>
                <w:rFonts w:cstheme="minorHAnsi"/>
              </w:rPr>
              <w:t>wards</w:t>
            </w:r>
            <w:r>
              <w:rPr>
                <w:rFonts w:cstheme="minorHAnsi"/>
              </w:rPr>
              <w:t xml:space="preserve"> how the authors wove their interview data into the narrative.</w:t>
            </w:r>
          </w:p>
          <w:p w:rsidR="00595F3B" w:rsidRDefault="00595F3B" w:rsidP="00E015CE">
            <w:pPr>
              <w:shd w:val="clear" w:color="auto" w:fill="DDDDDD"/>
              <w:rPr>
                <w:rFonts w:cstheme="minorHAnsi"/>
              </w:rPr>
            </w:pPr>
          </w:p>
          <w:p w:rsidR="00595F3B" w:rsidRPr="00317978" w:rsidRDefault="00595F3B" w:rsidP="00E015CE">
            <w:pPr>
              <w:shd w:val="clear" w:color="auto" w:fill="DDDDDD"/>
              <w:rPr>
                <w:rFonts w:cstheme="minorHAnsi"/>
              </w:rPr>
            </w:pPr>
            <w:r w:rsidRPr="00317978">
              <w:rPr>
                <w:rFonts w:cstheme="minorHAnsi"/>
              </w:rPr>
              <w:t>Green, “On the Move”</w:t>
            </w:r>
          </w:p>
          <w:p w:rsidR="00595F3B" w:rsidRPr="00317978" w:rsidRDefault="00595F3B" w:rsidP="00E015CE">
            <w:pPr>
              <w:shd w:val="clear" w:color="auto" w:fill="DDDDDD"/>
              <w:rPr>
                <w:rFonts w:cstheme="minorHAnsi"/>
              </w:rPr>
            </w:pPr>
            <w:r w:rsidRPr="00317978">
              <w:rPr>
                <w:rFonts w:cstheme="minorHAnsi"/>
              </w:rPr>
              <w:t>Viseau et al., “Interplay of Public and Private”</w:t>
            </w:r>
          </w:p>
          <w:p w:rsidR="00595F3B" w:rsidRDefault="00595F3B" w:rsidP="00E015CE">
            <w:pPr>
              <w:rPr>
                <w:rFonts w:cstheme="minorHAnsi"/>
              </w:rPr>
            </w:pPr>
          </w:p>
          <w:p w:rsidR="00F353F8" w:rsidRPr="00317978" w:rsidRDefault="00F353F8" w:rsidP="00E015CE">
            <w:pPr>
              <w:rPr>
                <w:rFonts w:cstheme="minorHAnsi"/>
              </w:rPr>
            </w:pPr>
          </w:p>
        </w:tc>
        <w:tc>
          <w:tcPr>
            <w:tcW w:w="2340" w:type="dxa"/>
          </w:tcPr>
          <w:p w:rsidR="00595F3B" w:rsidRDefault="00595F3B" w:rsidP="00E015CE">
            <w:pPr>
              <w:rPr>
                <w:rFonts w:cstheme="minorHAnsi"/>
              </w:rPr>
            </w:pPr>
            <w:r>
              <w:rPr>
                <w:rFonts w:cstheme="minorHAnsi"/>
              </w:rPr>
              <w:t>Code</w:t>
            </w:r>
          </w:p>
          <w:p w:rsidR="00595F3B" w:rsidRPr="00317978" w:rsidRDefault="00595F3B" w:rsidP="00E015CE">
            <w:pPr>
              <w:rPr>
                <w:rFonts w:cstheme="minorHAnsi"/>
              </w:rPr>
            </w:pPr>
            <w:r>
              <w:rPr>
                <w:rFonts w:cstheme="minorHAnsi"/>
              </w:rPr>
              <w:t>Develop protocol</w:t>
            </w:r>
          </w:p>
        </w:tc>
        <w:tc>
          <w:tcPr>
            <w:tcW w:w="2430" w:type="dxa"/>
          </w:tcPr>
          <w:p w:rsidR="00595F3B" w:rsidRDefault="00595F3B">
            <w:pPr>
              <w:rPr>
                <w:rFonts w:cstheme="minorHAnsi"/>
              </w:rPr>
            </w:pPr>
          </w:p>
        </w:tc>
      </w:tr>
      <w:tr w:rsidR="00595F3B" w:rsidRPr="00317978" w:rsidTr="006C099D">
        <w:trPr>
          <w:trHeight w:val="665"/>
        </w:trPr>
        <w:tc>
          <w:tcPr>
            <w:tcW w:w="558" w:type="dxa"/>
          </w:tcPr>
          <w:p w:rsidR="00595F3B" w:rsidRPr="00317978" w:rsidRDefault="00595F3B">
            <w:pPr>
              <w:rPr>
                <w:rFonts w:cstheme="minorHAnsi"/>
              </w:rPr>
            </w:pPr>
            <w:r w:rsidRPr="00317978">
              <w:rPr>
                <w:rFonts w:cstheme="minorHAnsi"/>
              </w:rPr>
              <w:t>8</w:t>
            </w:r>
          </w:p>
        </w:tc>
        <w:tc>
          <w:tcPr>
            <w:tcW w:w="2340" w:type="dxa"/>
          </w:tcPr>
          <w:p w:rsidR="00595F3B" w:rsidRDefault="00595F3B" w:rsidP="00E015CE">
            <w:pPr>
              <w:rPr>
                <w:rFonts w:cstheme="minorHAnsi"/>
              </w:rPr>
            </w:pPr>
            <w:r w:rsidRPr="00317978">
              <w:rPr>
                <w:rFonts w:cstheme="minorHAnsi"/>
              </w:rPr>
              <w:t>Managing Presence, When to Leave the Field, and Relationship to Informants</w:t>
            </w:r>
          </w:p>
          <w:p w:rsidR="00F353F8" w:rsidRDefault="00F353F8" w:rsidP="00E015CE">
            <w:pPr>
              <w:rPr>
                <w:rFonts w:cstheme="minorHAnsi"/>
              </w:rPr>
            </w:pPr>
          </w:p>
          <w:p w:rsidR="00F353F8" w:rsidRPr="00317978" w:rsidRDefault="00F353F8" w:rsidP="00E015CE">
            <w:pPr>
              <w:rPr>
                <w:rFonts w:cstheme="minorHAnsi"/>
              </w:rPr>
            </w:pPr>
          </w:p>
        </w:tc>
        <w:tc>
          <w:tcPr>
            <w:tcW w:w="5400" w:type="dxa"/>
          </w:tcPr>
          <w:p w:rsidR="00595F3B" w:rsidRPr="00317978" w:rsidRDefault="00595F3B" w:rsidP="00E015CE">
            <w:pPr>
              <w:rPr>
                <w:rFonts w:cstheme="minorHAnsi"/>
              </w:rPr>
            </w:pPr>
            <w:r w:rsidRPr="00317978">
              <w:rPr>
                <w:rFonts w:cstheme="minorHAnsi"/>
              </w:rPr>
              <w:t>Emerson&amp; Pollner, “Constructing…Relations”</w:t>
            </w:r>
          </w:p>
          <w:p w:rsidR="00595F3B" w:rsidRDefault="00595F3B" w:rsidP="00E015CE">
            <w:pPr>
              <w:rPr>
                <w:rFonts w:cstheme="minorHAnsi"/>
              </w:rPr>
            </w:pPr>
            <w:r w:rsidRPr="00317978">
              <w:rPr>
                <w:rFonts w:cstheme="minorHAnsi"/>
              </w:rPr>
              <w:t>Barley, “Images of Imaging”</w:t>
            </w:r>
          </w:p>
          <w:p w:rsidR="00595F3B" w:rsidRPr="00317978" w:rsidRDefault="00595F3B" w:rsidP="00E015CE">
            <w:pPr>
              <w:rPr>
                <w:rFonts w:cstheme="minorHAnsi"/>
              </w:rPr>
            </w:pPr>
          </w:p>
        </w:tc>
        <w:tc>
          <w:tcPr>
            <w:tcW w:w="2340" w:type="dxa"/>
          </w:tcPr>
          <w:p w:rsidR="00595F3B" w:rsidRPr="00317978" w:rsidRDefault="00595F3B" w:rsidP="00E015CE">
            <w:pPr>
              <w:rPr>
                <w:rFonts w:cstheme="minorHAnsi"/>
              </w:rPr>
            </w:pPr>
            <w:r w:rsidRPr="00317978">
              <w:rPr>
                <w:rFonts w:cstheme="minorHAnsi"/>
              </w:rPr>
              <w:t>Conduct 1</w:t>
            </w:r>
            <w:r w:rsidRPr="00317978">
              <w:rPr>
                <w:rFonts w:cstheme="minorHAnsi"/>
                <w:vertAlign w:val="superscript"/>
              </w:rPr>
              <w:t>st</w:t>
            </w:r>
            <w:r w:rsidRPr="00317978">
              <w:rPr>
                <w:rFonts w:cstheme="minorHAnsi"/>
              </w:rPr>
              <w:t xml:space="preserve"> interview</w:t>
            </w:r>
          </w:p>
        </w:tc>
        <w:tc>
          <w:tcPr>
            <w:tcW w:w="2430" w:type="dxa"/>
          </w:tcPr>
          <w:p w:rsidR="00595F3B" w:rsidRPr="00317978" w:rsidRDefault="00595F3B" w:rsidP="00E015CE">
            <w:pPr>
              <w:rPr>
                <w:rFonts w:cstheme="minorHAnsi"/>
              </w:rPr>
            </w:pPr>
            <w:r w:rsidRPr="00317978">
              <w:rPr>
                <w:rFonts w:cstheme="minorHAnsi"/>
              </w:rPr>
              <w:t>Protocol in shared space</w:t>
            </w:r>
          </w:p>
        </w:tc>
      </w:tr>
      <w:tr w:rsidR="00595F3B" w:rsidRPr="00317978" w:rsidTr="006C099D">
        <w:tc>
          <w:tcPr>
            <w:tcW w:w="558" w:type="dxa"/>
          </w:tcPr>
          <w:p w:rsidR="00595F3B" w:rsidRPr="00317978" w:rsidRDefault="00595F3B" w:rsidP="00A14A78">
            <w:pPr>
              <w:rPr>
                <w:rFonts w:cstheme="minorHAnsi"/>
              </w:rPr>
            </w:pPr>
            <w:r w:rsidRPr="00317978">
              <w:rPr>
                <w:rFonts w:cstheme="minorHAnsi"/>
              </w:rPr>
              <w:t>9</w:t>
            </w:r>
          </w:p>
        </w:tc>
        <w:tc>
          <w:tcPr>
            <w:tcW w:w="2340" w:type="dxa"/>
          </w:tcPr>
          <w:p w:rsidR="00595F3B" w:rsidRPr="00317978" w:rsidRDefault="00595F3B" w:rsidP="00E015CE">
            <w:pPr>
              <w:rPr>
                <w:rFonts w:cstheme="minorHAnsi"/>
              </w:rPr>
            </w:pPr>
            <w:r w:rsidRPr="00317978">
              <w:rPr>
                <w:rFonts w:cstheme="minorHAnsi"/>
              </w:rPr>
              <w:t>Beyond Description: Drawing Themes, Writing Memos, and Building Grounded Theory</w:t>
            </w:r>
          </w:p>
        </w:tc>
        <w:tc>
          <w:tcPr>
            <w:tcW w:w="5400" w:type="dxa"/>
          </w:tcPr>
          <w:p w:rsidR="00595F3B" w:rsidRPr="00317978" w:rsidRDefault="0082374F" w:rsidP="00E015CE">
            <w:pPr>
              <w:rPr>
                <w:rFonts w:cstheme="minorHAnsi"/>
              </w:rPr>
            </w:pPr>
            <w:r>
              <w:rPr>
                <w:rFonts w:cstheme="minorHAnsi"/>
              </w:rPr>
              <w:t>Katz, “From How to Why,” parts 1 and 2</w:t>
            </w:r>
          </w:p>
          <w:p w:rsidR="00595F3B" w:rsidRPr="00317978" w:rsidRDefault="00595F3B" w:rsidP="00E015CE">
            <w:pPr>
              <w:rPr>
                <w:rFonts w:cstheme="minorHAnsi"/>
              </w:rPr>
            </w:pPr>
            <w:r w:rsidRPr="00317978">
              <w:rPr>
                <w:rFonts w:cstheme="minorHAnsi"/>
              </w:rPr>
              <w:t>Corbin and Strauss, “Memos and Diagrams”</w:t>
            </w:r>
          </w:p>
          <w:p w:rsidR="00595F3B" w:rsidRDefault="00595F3B" w:rsidP="00E015CE">
            <w:pPr>
              <w:rPr>
                <w:rFonts w:cstheme="minorHAnsi"/>
              </w:rPr>
            </w:pPr>
          </w:p>
          <w:p w:rsidR="00595F3B" w:rsidRDefault="00595F3B" w:rsidP="00E015CE">
            <w:pPr>
              <w:shd w:val="clear" w:color="auto" w:fill="DDDDDD"/>
              <w:rPr>
                <w:rFonts w:cstheme="minorHAnsi"/>
              </w:rPr>
            </w:pPr>
            <w:r>
              <w:rPr>
                <w:rFonts w:cstheme="minorHAnsi"/>
              </w:rPr>
              <w:t xml:space="preserve">Ethnography Examples: Read these information studies papers with </w:t>
            </w:r>
            <w:r w:rsidR="00F353F8">
              <w:rPr>
                <w:rFonts w:cstheme="minorHAnsi"/>
              </w:rPr>
              <w:t>an</w:t>
            </w:r>
            <w:r>
              <w:rPr>
                <w:rFonts w:cstheme="minorHAnsi"/>
              </w:rPr>
              <w:t xml:space="preserve"> eye toward</w:t>
            </w:r>
            <w:r w:rsidR="00F353F8">
              <w:rPr>
                <w:rFonts w:cstheme="minorHAnsi"/>
              </w:rPr>
              <w:t>s</w:t>
            </w:r>
            <w:r>
              <w:rPr>
                <w:rFonts w:cstheme="minorHAnsi"/>
              </w:rPr>
              <w:t xml:space="preserve"> how the authors developed and explained themes.</w:t>
            </w:r>
          </w:p>
          <w:p w:rsidR="00595F3B" w:rsidRDefault="00595F3B" w:rsidP="00E015CE">
            <w:pPr>
              <w:shd w:val="clear" w:color="auto" w:fill="DDDDDD"/>
              <w:rPr>
                <w:rFonts w:cstheme="minorHAnsi"/>
              </w:rPr>
            </w:pPr>
          </w:p>
          <w:p w:rsidR="00595F3B" w:rsidRPr="00317978" w:rsidRDefault="00595F3B" w:rsidP="00E015CE">
            <w:pPr>
              <w:shd w:val="clear" w:color="auto" w:fill="DDDDDD"/>
              <w:rPr>
                <w:rFonts w:cstheme="minorHAnsi"/>
              </w:rPr>
            </w:pPr>
            <w:r w:rsidRPr="00317978">
              <w:rPr>
                <w:rFonts w:cstheme="minorHAnsi"/>
              </w:rPr>
              <w:t>Given and Leckie, “Sweeping the Library”</w:t>
            </w:r>
          </w:p>
          <w:p w:rsidR="00595F3B" w:rsidRPr="00317978" w:rsidRDefault="00595F3B" w:rsidP="00E015CE">
            <w:pPr>
              <w:shd w:val="clear" w:color="auto" w:fill="DDDDDD"/>
              <w:rPr>
                <w:rFonts w:cstheme="minorHAnsi"/>
              </w:rPr>
            </w:pPr>
            <w:r w:rsidRPr="00317978">
              <w:rPr>
                <w:rFonts w:cstheme="minorHAnsi"/>
              </w:rPr>
              <w:t>Shankar, “Ambiguity”</w:t>
            </w:r>
          </w:p>
          <w:p w:rsidR="00595F3B" w:rsidRDefault="00595F3B" w:rsidP="00E015CE">
            <w:pPr>
              <w:rPr>
                <w:rFonts w:cstheme="minorHAnsi"/>
              </w:rPr>
            </w:pPr>
          </w:p>
          <w:p w:rsidR="00F353F8" w:rsidRPr="00317978" w:rsidRDefault="00F353F8" w:rsidP="00E015CE">
            <w:pPr>
              <w:rPr>
                <w:rFonts w:cstheme="minorHAnsi"/>
              </w:rPr>
            </w:pPr>
          </w:p>
        </w:tc>
        <w:tc>
          <w:tcPr>
            <w:tcW w:w="2340" w:type="dxa"/>
          </w:tcPr>
          <w:p w:rsidR="00595F3B" w:rsidRPr="00317978" w:rsidRDefault="00595F3B" w:rsidP="00E015CE">
            <w:pPr>
              <w:rPr>
                <w:rFonts w:cstheme="minorHAnsi"/>
              </w:rPr>
            </w:pPr>
            <w:r w:rsidRPr="00317978">
              <w:rPr>
                <w:rFonts w:cstheme="minorHAnsi"/>
              </w:rPr>
              <w:t>Code, Write Memos</w:t>
            </w:r>
          </w:p>
        </w:tc>
        <w:tc>
          <w:tcPr>
            <w:tcW w:w="2430" w:type="dxa"/>
          </w:tcPr>
          <w:p w:rsidR="00595F3B" w:rsidRPr="00317978" w:rsidRDefault="00595F3B" w:rsidP="00E015CE">
            <w:pPr>
              <w:rPr>
                <w:rFonts w:cstheme="minorHAnsi"/>
              </w:rPr>
            </w:pPr>
            <w:r w:rsidRPr="00317978">
              <w:rPr>
                <w:rFonts w:cstheme="minorHAnsi"/>
              </w:rPr>
              <w:t>1</w:t>
            </w:r>
            <w:r w:rsidRPr="00317978">
              <w:rPr>
                <w:rFonts w:cstheme="minorHAnsi"/>
                <w:vertAlign w:val="superscript"/>
              </w:rPr>
              <w:t>st</w:t>
            </w:r>
            <w:r w:rsidRPr="00317978">
              <w:rPr>
                <w:rFonts w:cstheme="minorHAnsi"/>
              </w:rPr>
              <w:t xml:space="preserve"> interview in HU</w:t>
            </w:r>
          </w:p>
        </w:tc>
      </w:tr>
      <w:tr w:rsidR="00595F3B" w:rsidRPr="00317978" w:rsidTr="006C099D">
        <w:tc>
          <w:tcPr>
            <w:tcW w:w="558" w:type="dxa"/>
          </w:tcPr>
          <w:p w:rsidR="00595F3B" w:rsidRPr="00317978" w:rsidRDefault="00595F3B" w:rsidP="00A14A78">
            <w:pPr>
              <w:rPr>
                <w:rFonts w:cstheme="minorHAnsi"/>
              </w:rPr>
            </w:pPr>
            <w:r w:rsidRPr="00317978">
              <w:rPr>
                <w:rFonts w:cstheme="minorHAnsi"/>
              </w:rPr>
              <w:t>10</w:t>
            </w:r>
          </w:p>
        </w:tc>
        <w:tc>
          <w:tcPr>
            <w:tcW w:w="2340" w:type="dxa"/>
          </w:tcPr>
          <w:p w:rsidR="00595F3B" w:rsidRPr="00317978" w:rsidRDefault="00595F3B" w:rsidP="00E015CE">
            <w:pPr>
              <w:rPr>
                <w:rFonts w:cstheme="minorHAnsi"/>
              </w:rPr>
            </w:pPr>
            <w:r w:rsidRPr="00317978">
              <w:rPr>
                <w:rFonts w:cstheme="minorHAnsi"/>
              </w:rPr>
              <w:t xml:space="preserve">Workshop: Reading Your Interviews </w:t>
            </w:r>
          </w:p>
        </w:tc>
        <w:tc>
          <w:tcPr>
            <w:tcW w:w="5400" w:type="dxa"/>
          </w:tcPr>
          <w:p w:rsidR="00595F3B" w:rsidRPr="00317978" w:rsidRDefault="00595F3B" w:rsidP="00E015CE">
            <w:pPr>
              <w:rPr>
                <w:rFonts w:cstheme="minorHAnsi"/>
              </w:rPr>
            </w:pPr>
            <w:r w:rsidRPr="00317978">
              <w:rPr>
                <w:rFonts w:cstheme="minorHAnsi"/>
              </w:rPr>
              <w:t>Weiss, Ch. 6</w:t>
            </w:r>
          </w:p>
          <w:p w:rsidR="00595F3B" w:rsidRPr="00317978" w:rsidRDefault="00595F3B" w:rsidP="00595F3B">
            <w:pPr>
              <w:rPr>
                <w:rFonts w:cstheme="minorHAnsi"/>
              </w:rPr>
            </w:pPr>
            <w:r>
              <w:rPr>
                <w:rFonts w:cstheme="minorHAnsi"/>
              </w:rPr>
              <w:t>If you have a book report due, you have no other reading. If you do not, please read at least five sets of field notes other than your own.</w:t>
            </w:r>
          </w:p>
          <w:p w:rsidR="00595F3B" w:rsidRPr="00317978" w:rsidRDefault="00595F3B" w:rsidP="00E015CE">
            <w:pPr>
              <w:rPr>
                <w:rFonts w:cstheme="minorHAnsi"/>
              </w:rPr>
            </w:pPr>
          </w:p>
          <w:p w:rsidR="00595F3B" w:rsidRPr="00317978" w:rsidRDefault="00595F3B" w:rsidP="00E015CE">
            <w:pPr>
              <w:rPr>
                <w:rFonts w:cstheme="minorHAnsi"/>
              </w:rPr>
            </w:pPr>
          </w:p>
        </w:tc>
        <w:tc>
          <w:tcPr>
            <w:tcW w:w="2340" w:type="dxa"/>
          </w:tcPr>
          <w:p w:rsidR="00595F3B" w:rsidRPr="00317978" w:rsidRDefault="00595F3B" w:rsidP="00A14A78">
            <w:pPr>
              <w:rPr>
                <w:rFonts w:cstheme="minorHAnsi"/>
              </w:rPr>
            </w:pPr>
          </w:p>
        </w:tc>
        <w:tc>
          <w:tcPr>
            <w:tcW w:w="2430" w:type="dxa"/>
          </w:tcPr>
          <w:p w:rsidR="00595F3B" w:rsidRPr="00317978" w:rsidRDefault="00595F3B" w:rsidP="00D819D6">
            <w:pPr>
              <w:rPr>
                <w:rFonts w:cstheme="minorHAnsi"/>
              </w:rPr>
            </w:pPr>
            <w:r w:rsidRPr="00317978">
              <w:rPr>
                <w:rFonts w:cstheme="minorHAnsi"/>
              </w:rPr>
              <w:t>2</w:t>
            </w:r>
            <w:r w:rsidRPr="00317978">
              <w:rPr>
                <w:rFonts w:cstheme="minorHAnsi"/>
                <w:vertAlign w:val="superscript"/>
              </w:rPr>
              <w:t>nd</w:t>
            </w:r>
            <w:r w:rsidRPr="00317978">
              <w:rPr>
                <w:rFonts w:cstheme="minorHAnsi"/>
              </w:rPr>
              <w:t xml:space="preserve"> interview in HU</w:t>
            </w:r>
          </w:p>
          <w:p w:rsidR="00595F3B" w:rsidRDefault="00595F3B" w:rsidP="00D819D6">
            <w:pPr>
              <w:rPr>
                <w:rFonts w:cstheme="minorHAnsi"/>
              </w:rPr>
            </w:pPr>
          </w:p>
          <w:p w:rsidR="00595F3B" w:rsidRDefault="00595F3B" w:rsidP="006C099D">
            <w:pPr>
              <w:shd w:val="clear" w:color="auto" w:fill="D9D9D9" w:themeFill="background1" w:themeFillShade="D9"/>
              <w:rPr>
                <w:rFonts w:cstheme="minorHAnsi"/>
              </w:rPr>
            </w:pPr>
            <w:r>
              <w:rPr>
                <w:rFonts w:cstheme="minorHAnsi"/>
              </w:rPr>
              <w:t>Ethnography Examples: 2</w:t>
            </w:r>
            <w:r w:rsidRPr="006C099D">
              <w:rPr>
                <w:rFonts w:cstheme="minorHAnsi"/>
                <w:vertAlign w:val="superscript"/>
              </w:rPr>
              <w:t>nd</w:t>
            </w:r>
            <w:r>
              <w:rPr>
                <w:rFonts w:cstheme="minorHAnsi"/>
              </w:rPr>
              <w:t xml:space="preserve"> </w:t>
            </w:r>
            <w:r w:rsidRPr="00317978">
              <w:rPr>
                <w:rFonts w:cstheme="minorHAnsi"/>
              </w:rPr>
              <w:t>round book reports</w:t>
            </w:r>
          </w:p>
          <w:p w:rsidR="00595F3B" w:rsidRPr="00317978" w:rsidRDefault="00595F3B" w:rsidP="00D819D6">
            <w:pPr>
              <w:rPr>
                <w:rFonts w:cstheme="minorHAnsi"/>
              </w:rPr>
            </w:pPr>
          </w:p>
        </w:tc>
      </w:tr>
      <w:tr w:rsidR="00595F3B" w:rsidRPr="00317978" w:rsidTr="006C099D">
        <w:tc>
          <w:tcPr>
            <w:tcW w:w="558" w:type="dxa"/>
          </w:tcPr>
          <w:p w:rsidR="00595F3B" w:rsidRPr="00317978" w:rsidRDefault="00595F3B" w:rsidP="00A14A78">
            <w:pPr>
              <w:rPr>
                <w:rFonts w:cstheme="minorHAnsi"/>
              </w:rPr>
            </w:pPr>
            <w:r w:rsidRPr="00317978">
              <w:rPr>
                <w:rFonts w:cstheme="minorHAnsi"/>
              </w:rPr>
              <w:lastRenderedPageBreak/>
              <w:t>11</w:t>
            </w:r>
          </w:p>
        </w:tc>
        <w:tc>
          <w:tcPr>
            <w:tcW w:w="2340" w:type="dxa"/>
          </w:tcPr>
          <w:p w:rsidR="00595F3B" w:rsidRPr="00317978" w:rsidRDefault="00595F3B" w:rsidP="00E015CE">
            <w:pPr>
              <w:rPr>
                <w:rFonts w:cstheme="minorHAnsi"/>
              </w:rPr>
            </w:pPr>
            <w:r w:rsidRPr="00317978">
              <w:rPr>
                <w:rFonts w:cstheme="minorHAnsi"/>
              </w:rPr>
              <w:t>Speaking to a Literature, Framing a Study</w:t>
            </w:r>
          </w:p>
        </w:tc>
        <w:tc>
          <w:tcPr>
            <w:tcW w:w="5400" w:type="dxa"/>
          </w:tcPr>
          <w:p w:rsidR="00595F3B" w:rsidRPr="00317978" w:rsidRDefault="00595F3B" w:rsidP="00E015CE">
            <w:pPr>
              <w:rPr>
                <w:rFonts w:cstheme="minorHAnsi"/>
              </w:rPr>
            </w:pPr>
            <w:r w:rsidRPr="00317978">
              <w:rPr>
                <w:rFonts w:cstheme="minorHAnsi"/>
              </w:rPr>
              <w:t>Emerson et al. Ch. 7-8</w:t>
            </w:r>
          </w:p>
          <w:p w:rsidR="00595F3B" w:rsidRDefault="00595F3B" w:rsidP="00E015CE">
            <w:pPr>
              <w:rPr>
                <w:rFonts w:cstheme="minorHAnsi"/>
              </w:rPr>
            </w:pPr>
            <w:r w:rsidRPr="00317978">
              <w:rPr>
                <w:rFonts w:cstheme="minorHAnsi"/>
              </w:rPr>
              <w:t>Corbin and Strauss, “Writing These</w:t>
            </w:r>
            <w:r w:rsidR="0022025A">
              <w:rPr>
                <w:rFonts w:cstheme="minorHAnsi"/>
              </w:rPr>
              <w:t>s</w:t>
            </w:r>
            <w:r w:rsidRPr="00317978">
              <w:rPr>
                <w:rFonts w:cstheme="minorHAnsi"/>
              </w:rPr>
              <w:t>”</w:t>
            </w:r>
          </w:p>
          <w:p w:rsidR="00595F3B" w:rsidRPr="00317978" w:rsidRDefault="00595F3B" w:rsidP="00E015CE">
            <w:pPr>
              <w:rPr>
                <w:rFonts w:cstheme="minorHAnsi"/>
              </w:rPr>
            </w:pPr>
          </w:p>
          <w:p w:rsidR="00595F3B" w:rsidRDefault="00595F3B" w:rsidP="00E015CE">
            <w:pPr>
              <w:shd w:val="clear" w:color="auto" w:fill="DDDDDD"/>
              <w:rPr>
                <w:rFonts w:cstheme="minorHAnsi"/>
              </w:rPr>
            </w:pPr>
            <w:r>
              <w:rPr>
                <w:rFonts w:cstheme="minorHAnsi"/>
              </w:rPr>
              <w:t xml:space="preserve">Ethnography Examples: Read these IT and organizations papers with </w:t>
            </w:r>
            <w:r w:rsidR="00F353F8">
              <w:rPr>
                <w:rFonts w:cstheme="minorHAnsi"/>
              </w:rPr>
              <w:t>an eye towards</w:t>
            </w:r>
            <w:r>
              <w:rPr>
                <w:rFonts w:cstheme="minorHAnsi"/>
              </w:rPr>
              <w:t xml:space="preserve"> how the authors addressed and extended a body of literature.</w:t>
            </w:r>
          </w:p>
          <w:p w:rsidR="00595F3B" w:rsidRDefault="00595F3B" w:rsidP="00E015CE">
            <w:pPr>
              <w:shd w:val="clear" w:color="auto" w:fill="DDDDDD"/>
              <w:rPr>
                <w:rFonts w:cstheme="minorHAnsi"/>
              </w:rPr>
            </w:pPr>
          </w:p>
          <w:p w:rsidR="00595F3B" w:rsidRPr="00317978" w:rsidRDefault="00595F3B" w:rsidP="00E015CE">
            <w:pPr>
              <w:shd w:val="clear" w:color="auto" w:fill="DDDDDD"/>
              <w:rPr>
                <w:rFonts w:cstheme="minorHAnsi"/>
              </w:rPr>
            </w:pPr>
            <w:r w:rsidRPr="00317978">
              <w:rPr>
                <w:rFonts w:cstheme="minorHAnsi"/>
              </w:rPr>
              <w:t>Orlikowski, “Duality of Technology”</w:t>
            </w:r>
          </w:p>
          <w:p w:rsidR="00595F3B" w:rsidRPr="00317978" w:rsidRDefault="00595F3B" w:rsidP="00E015CE">
            <w:pPr>
              <w:shd w:val="clear" w:color="auto" w:fill="DDDDDD"/>
              <w:rPr>
                <w:rFonts w:cstheme="minorHAnsi"/>
              </w:rPr>
            </w:pPr>
            <w:r w:rsidRPr="00317978">
              <w:rPr>
                <w:rFonts w:cstheme="minorHAnsi"/>
              </w:rPr>
              <w:t>Boudreau &amp; Robey, “Enacting Integrated”</w:t>
            </w:r>
          </w:p>
          <w:p w:rsidR="00595F3B" w:rsidRPr="00317978" w:rsidRDefault="00595F3B" w:rsidP="00E015CE">
            <w:pPr>
              <w:shd w:val="clear" w:color="auto" w:fill="DDDDDD"/>
              <w:rPr>
                <w:rFonts w:cstheme="minorHAnsi"/>
              </w:rPr>
            </w:pPr>
            <w:r w:rsidRPr="00317978">
              <w:rPr>
                <w:rFonts w:cstheme="minorHAnsi"/>
              </w:rPr>
              <w:t>Bailey, Leonardi, &amp; Chong, “Minding Gaps”</w:t>
            </w:r>
          </w:p>
          <w:p w:rsidR="00595F3B" w:rsidRDefault="00595F3B" w:rsidP="00E015CE">
            <w:pPr>
              <w:rPr>
                <w:rFonts w:cstheme="minorHAnsi"/>
              </w:rPr>
            </w:pPr>
          </w:p>
          <w:p w:rsidR="00F353F8" w:rsidRPr="00317978" w:rsidRDefault="00F353F8" w:rsidP="00E015CE">
            <w:pPr>
              <w:rPr>
                <w:rFonts w:cstheme="minorHAnsi"/>
              </w:rPr>
            </w:pPr>
          </w:p>
        </w:tc>
        <w:tc>
          <w:tcPr>
            <w:tcW w:w="2340" w:type="dxa"/>
          </w:tcPr>
          <w:p w:rsidR="00595F3B" w:rsidRPr="00317978" w:rsidRDefault="00595F3B" w:rsidP="00BD0F8D">
            <w:pPr>
              <w:rPr>
                <w:rFonts w:cstheme="minorHAnsi"/>
              </w:rPr>
            </w:pPr>
            <w:r w:rsidRPr="00317978">
              <w:rPr>
                <w:rFonts w:cstheme="minorHAnsi"/>
              </w:rPr>
              <w:t>Investigate Background Lit, Code, Analyze</w:t>
            </w:r>
          </w:p>
        </w:tc>
        <w:tc>
          <w:tcPr>
            <w:tcW w:w="2430" w:type="dxa"/>
          </w:tcPr>
          <w:p w:rsidR="00595F3B" w:rsidRPr="00317978" w:rsidRDefault="00595F3B" w:rsidP="00A14A78">
            <w:pPr>
              <w:rPr>
                <w:rFonts w:cstheme="minorHAnsi"/>
              </w:rPr>
            </w:pPr>
          </w:p>
        </w:tc>
      </w:tr>
      <w:tr w:rsidR="00595F3B" w:rsidRPr="00317978" w:rsidTr="006C099D">
        <w:tc>
          <w:tcPr>
            <w:tcW w:w="558" w:type="dxa"/>
          </w:tcPr>
          <w:p w:rsidR="00595F3B" w:rsidRPr="00317978" w:rsidRDefault="00595F3B" w:rsidP="00A14A78">
            <w:pPr>
              <w:rPr>
                <w:rFonts w:cstheme="minorHAnsi"/>
              </w:rPr>
            </w:pPr>
            <w:r w:rsidRPr="00317978">
              <w:rPr>
                <w:rFonts w:cstheme="minorHAnsi"/>
              </w:rPr>
              <w:t>12</w:t>
            </w:r>
          </w:p>
        </w:tc>
        <w:tc>
          <w:tcPr>
            <w:tcW w:w="2340" w:type="dxa"/>
          </w:tcPr>
          <w:p w:rsidR="00595F3B" w:rsidRPr="00317978" w:rsidRDefault="00595F3B" w:rsidP="00A14A78">
            <w:pPr>
              <w:rPr>
                <w:rFonts w:cstheme="minorHAnsi"/>
              </w:rPr>
            </w:pPr>
            <w:r w:rsidRPr="00317978">
              <w:rPr>
                <w:rFonts w:cstheme="minorHAnsi"/>
              </w:rPr>
              <w:t>Validity, Rigor, and Writing the Methods Section</w:t>
            </w:r>
          </w:p>
        </w:tc>
        <w:tc>
          <w:tcPr>
            <w:tcW w:w="5400" w:type="dxa"/>
          </w:tcPr>
          <w:p w:rsidR="00595F3B" w:rsidRDefault="00595F3B" w:rsidP="004C0008">
            <w:pPr>
              <w:rPr>
                <w:rFonts w:cstheme="minorHAnsi"/>
              </w:rPr>
            </w:pPr>
          </w:p>
          <w:p w:rsidR="00595F3B" w:rsidRDefault="00595F3B" w:rsidP="006C099D">
            <w:pPr>
              <w:shd w:val="clear" w:color="auto" w:fill="D9D9D9" w:themeFill="background1" w:themeFillShade="D9"/>
              <w:rPr>
                <w:rFonts w:cstheme="minorHAnsi"/>
              </w:rPr>
            </w:pPr>
            <w:r>
              <w:rPr>
                <w:rFonts w:cstheme="minorHAnsi"/>
              </w:rPr>
              <w:t xml:space="preserve">Ethnography Example: Read this occupational ethnography with </w:t>
            </w:r>
            <w:r w:rsidR="00F353F8">
              <w:rPr>
                <w:rFonts w:cstheme="minorHAnsi"/>
              </w:rPr>
              <w:t>an eye towards</w:t>
            </w:r>
            <w:r>
              <w:rPr>
                <w:rFonts w:cstheme="minorHAnsi"/>
              </w:rPr>
              <w:t xml:space="preserve"> methods and research design.</w:t>
            </w:r>
          </w:p>
          <w:p w:rsidR="00595F3B" w:rsidRDefault="00595F3B" w:rsidP="006C099D">
            <w:pPr>
              <w:shd w:val="clear" w:color="auto" w:fill="D9D9D9" w:themeFill="background1" w:themeFillShade="D9"/>
              <w:rPr>
                <w:rFonts w:cstheme="minorHAnsi"/>
              </w:rPr>
            </w:pPr>
          </w:p>
          <w:p w:rsidR="00595F3B" w:rsidRDefault="00595F3B" w:rsidP="006C099D">
            <w:pPr>
              <w:shd w:val="clear" w:color="auto" w:fill="D9D9D9" w:themeFill="background1" w:themeFillShade="D9"/>
              <w:rPr>
                <w:rFonts w:cstheme="minorHAnsi"/>
              </w:rPr>
            </w:pPr>
            <w:r w:rsidRPr="00317978">
              <w:rPr>
                <w:rFonts w:cstheme="minorHAnsi"/>
              </w:rPr>
              <w:t>Bosk, Forgive and Remember</w:t>
            </w:r>
          </w:p>
          <w:p w:rsidR="00595F3B" w:rsidRDefault="00595F3B" w:rsidP="004C0008">
            <w:pPr>
              <w:rPr>
                <w:rFonts w:cstheme="minorHAnsi"/>
              </w:rPr>
            </w:pPr>
          </w:p>
          <w:p w:rsidR="00F353F8" w:rsidRPr="00317978" w:rsidRDefault="00F353F8" w:rsidP="004C0008">
            <w:pPr>
              <w:rPr>
                <w:rFonts w:cstheme="minorHAnsi"/>
              </w:rPr>
            </w:pPr>
          </w:p>
        </w:tc>
        <w:tc>
          <w:tcPr>
            <w:tcW w:w="2340" w:type="dxa"/>
          </w:tcPr>
          <w:p w:rsidR="00595F3B" w:rsidRPr="00317978" w:rsidRDefault="00595F3B" w:rsidP="00BD0F8D">
            <w:pPr>
              <w:rPr>
                <w:rFonts w:cstheme="minorHAnsi"/>
              </w:rPr>
            </w:pPr>
            <w:r w:rsidRPr="00317978">
              <w:rPr>
                <w:rFonts w:cstheme="minorHAnsi"/>
              </w:rPr>
              <w:t>Write</w:t>
            </w:r>
          </w:p>
        </w:tc>
        <w:tc>
          <w:tcPr>
            <w:tcW w:w="2430" w:type="dxa"/>
          </w:tcPr>
          <w:p w:rsidR="00595F3B" w:rsidRPr="00317978" w:rsidRDefault="00595F3B" w:rsidP="00A14A78">
            <w:pPr>
              <w:rPr>
                <w:rFonts w:cstheme="minorHAnsi"/>
              </w:rPr>
            </w:pPr>
          </w:p>
        </w:tc>
      </w:tr>
      <w:tr w:rsidR="00595F3B" w:rsidRPr="00317978" w:rsidTr="006C099D">
        <w:tc>
          <w:tcPr>
            <w:tcW w:w="558" w:type="dxa"/>
          </w:tcPr>
          <w:p w:rsidR="00595F3B" w:rsidRPr="00317978" w:rsidRDefault="00595F3B" w:rsidP="00A14A78">
            <w:pPr>
              <w:rPr>
                <w:rFonts w:cstheme="minorHAnsi"/>
              </w:rPr>
            </w:pPr>
            <w:r w:rsidRPr="00317978">
              <w:rPr>
                <w:rFonts w:cstheme="minorHAnsi"/>
              </w:rPr>
              <w:t>13</w:t>
            </w:r>
          </w:p>
        </w:tc>
        <w:tc>
          <w:tcPr>
            <w:tcW w:w="2340" w:type="dxa"/>
          </w:tcPr>
          <w:p w:rsidR="00595F3B" w:rsidRPr="00317978" w:rsidRDefault="00595F3B" w:rsidP="00D819D6">
            <w:pPr>
              <w:rPr>
                <w:rFonts w:cstheme="minorHAnsi"/>
              </w:rPr>
            </w:pPr>
            <w:r w:rsidRPr="00317978">
              <w:rPr>
                <w:rFonts w:cstheme="minorHAnsi"/>
              </w:rPr>
              <w:t xml:space="preserve">Workshop: </w:t>
            </w:r>
            <w:r>
              <w:rPr>
                <w:rFonts w:cstheme="minorHAnsi"/>
              </w:rPr>
              <w:t xml:space="preserve">Writing </w:t>
            </w:r>
          </w:p>
        </w:tc>
        <w:tc>
          <w:tcPr>
            <w:tcW w:w="5400" w:type="dxa"/>
          </w:tcPr>
          <w:p w:rsidR="00595F3B" w:rsidRPr="00317978" w:rsidRDefault="00595F3B" w:rsidP="00724BF5">
            <w:pPr>
              <w:rPr>
                <w:rFonts w:cstheme="minorHAnsi"/>
                <w:color w:val="000000"/>
              </w:rPr>
            </w:pPr>
            <w:r w:rsidRPr="00317978">
              <w:rPr>
                <w:rFonts w:cstheme="minorHAnsi"/>
                <w:color w:val="000000"/>
              </w:rPr>
              <w:t>Creswell and Miller, “Determining Validity”</w:t>
            </w:r>
          </w:p>
          <w:p w:rsidR="00595F3B" w:rsidRPr="00317978" w:rsidRDefault="00595F3B" w:rsidP="00724BF5">
            <w:pPr>
              <w:rPr>
                <w:rFonts w:cstheme="minorHAnsi"/>
                <w:bCs/>
              </w:rPr>
            </w:pPr>
            <w:r w:rsidRPr="00317978">
              <w:rPr>
                <w:rFonts w:cstheme="minorHAnsi"/>
                <w:bCs/>
              </w:rPr>
              <w:t>Maxwell, “Understanding and Validity”</w:t>
            </w:r>
          </w:p>
          <w:p w:rsidR="00595F3B" w:rsidRDefault="00595F3B" w:rsidP="00724BF5">
            <w:pPr>
              <w:rPr>
                <w:rFonts w:cstheme="minorHAnsi"/>
              </w:rPr>
            </w:pPr>
            <w:r w:rsidRPr="00317978">
              <w:rPr>
                <w:rFonts w:cstheme="minorHAnsi"/>
              </w:rPr>
              <w:t>Snow et al., “Elaborating Analytic Ethnography”</w:t>
            </w:r>
          </w:p>
          <w:p w:rsidR="00595F3B" w:rsidRDefault="00595F3B" w:rsidP="00724BF5">
            <w:pPr>
              <w:rPr>
                <w:rFonts w:cstheme="minorHAnsi"/>
              </w:rPr>
            </w:pPr>
          </w:p>
          <w:p w:rsidR="00F353F8" w:rsidRPr="00317978" w:rsidRDefault="00F353F8" w:rsidP="00724BF5">
            <w:pPr>
              <w:rPr>
                <w:rFonts w:cstheme="minorHAnsi"/>
              </w:rPr>
            </w:pPr>
          </w:p>
        </w:tc>
        <w:tc>
          <w:tcPr>
            <w:tcW w:w="2340" w:type="dxa"/>
          </w:tcPr>
          <w:p w:rsidR="00595F3B" w:rsidRPr="00317978" w:rsidRDefault="00595F3B" w:rsidP="00A14A78">
            <w:pPr>
              <w:rPr>
                <w:rFonts w:cstheme="minorHAnsi"/>
              </w:rPr>
            </w:pPr>
            <w:r w:rsidRPr="00317978">
              <w:rPr>
                <w:rFonts w:cstheme="minorHAnsi"/>
              </w:rPr>
              <w:t>Write</w:t>
            </w:r>
          </w:p>
        </w:tc>
        <w:tc>
          <w:tcPr>
            <w:tcW w:w="2430" w:type="dxa"/>
          </w:tcPr>
          <w:p w:rsidR="00595F3B" w:rsidRPr="00317978" w:rsidRDefault="00F353F8" w:rsidP="00A14A78">
            <w:pPr>
              <w:rPr>
                <w:rFonts w:cstheme="minorHAnsi"/>
              </w:rPr>
            </w:pPr>
            <w:r>
              <w:rPr>
                <w:rFonts w:cstheme="minorHAnsi"/>
              </w:rPr>
              <w:t>Two pages of text</w:t>
            </w:r>
          </w:p>
        </w:tc>
      </w:tr>
      <w:tr w:rsidR="00595F3B" w:rsidRPr="00317978" w:rsidTr="006C099D">
        <w:tc>
          <w:tcPr>
            <w:tcW w:w="558" w:type="dxa"/>
          </w:tcPr>
          <w:p w:rsidR="00595F3B" w:rsidRPr="00317978" w:rsidRDefault="00595F3B" w:rsidP="00A14A78">
            <w:pPr>
              <w:rPr>
                <w:rFonts w:cstheme="minorHAnsi"/>
              </w:rPr>
            </w:pPr>
            <w:r w:rsidRPr="00317978">
              <w:rPr>
                <w:rFonts w:cstheme="minorHAnsi"/>
              </w:rPr>
              <w:t>14</w:t>
            </w:r>
          </w:p>
        </w:tc>
        <w:tc>
          <w:tcPr>
            <w:tcW w:w="2340" w:type="dxa"/>
          </w:tcPr>
          <w:p w:rsidR="00595F3B" w:rsidRPr="00317978" w:rsidRDefault="00595F3B" w:rsidP="00A14A78">
            <w:pPr>
              <w:rPr>
                <w:rFonts w:cstheme="minorHAnsi"/>
              </w:rPr>
            </w:pPr>
            <w:r w:rsidRPr="00317978">
              <w:rPr>
                <w:rFonts w:cstheme="minorHAnsi"/>
              </w:rPr>
              <w:t>Presentations</w:t>
            </w:r>
          </w:p>
        </w:tc>
        <w:tc>
          <w:tcPr>
            <w:tcW w:w="5400" w:type="dxa"/>
          </w:tcPr>
          <w:p w:rsidR="00595F3B" w:rsidRDefault="00595F3B" w:rsidP="00A14A78">
            <w:pPr>
              <w:rPr>
                <w:rFonts w:cstheme="minorHAnsi"/>
              </w:rPr>
            </w:pPr>
            <w:r w:rsidRPr="00317978">
              <w:rPr>
                <w:rFonts w:cstheme="minorHAnsi"/>
              </w:rPr>
              <w:t>No reading</w:t>
            </w:r>
          </w:p>
          <w:p w:rsidR="00595F3B" w:rsidRDefault="009E7426" w:rsidP="00A14A78">
            <w:pPr>
              <w:rPr>
                <w:rFonts w:cstheme="minorHAnsi"/>
              </w:rPr>
            </w:pPr>
            <w:r>
              <w:rPr>
                <w:rFonts w:cstheme="minorHAnsi"/>
              </w:rPr>
              <w:t xml:space="preserve">170 min – 10 break = 160 min. </w:t>
            </w:r>
          </w:p>
          <w:p w:rsidR="00F353F8" w:rsidRPr="00317978" w:rsidRDefault="00F353F8" w:rsidP="00A14A78">
            <w:pPr>
              <w:rPr>
                <w:rFonts w:cstheme="minorHAnsi"/>
              </w:rPr>
            </w:pPr>
          </w:p>
        </w:tc>
        <w:tc>
          <w:tcPr>
            <w:tcW w:w="2340" w:type="dxa"/>
          </w:tcPr>
          <w:p w:rsidR="00595F3B" w:rsidRPr="00317978" w:rsidRDefault="00595F3B" w:rsidP="00A14A78">
            <w:pPr>
              <w:rPr>
                <w:rFonts w:cstheme="minorHAnsi"/>
              </w:rPr>
            </w:pPr>
            <w:r w:rsidRPr="00317978">
              <w:rPr>
                <w:rFonts w:cstheme="minorHAnsi"/>
              </w:rPr>
              <w:t>Write</w:t>
            </w:r>
          </w:p>
        </w:tc>
        <w:tc>
          <w:tcPr>
            <w:tcW w:w="2430" w:type="dxa"/>
          </w:tcPr>
          <w:p w:rsidR="00595F3B" w:rsidRPr="00317978" w:rsidRDefault="00595F3B" w:rsidP="00A14A78">
            <w:pPr>
              <w:rPr>
                <w:rFonts w:cstheme="minorHAnsi"/>
              </w:rPr>
            </w:pPr>
            <w:r w:rsidRPr="00317978">
              <w:rPr>
                <w:rFonts w:cstheme="minorHAnsi"/>
              </w:rPr>
              <w:t>Presentation</w:t>
            </w:r>
          </w:p>
        </w:tc>
      </w:tr>
      <w:tr w:rsidR="00595F3B" w:rsidRPr="00317978" w:rsidTr="006C099D">
        <w:tc>
          <w:tcPr>
            <w:tcW w:w="558" w:type="dxa"/>
          </w:tcPr>
          <w:p w:rsidR="00595F3B" w:rsidRPr="00317978" w:rsidRDefault="00595F3B" w:rsidP="00A14A78">
            <w:pPr>
              <w:rPr>
                <w:rFonts w:cstheme="minorHAnsi"/>
              </w:rPr>
            </w:pPr>
            <w:r w:rsidRPr="00317978">
              <w:rPr>
                <w:rFonts w:cstheme="minorHAnsi"/>
              </w:rPr>
              <w:t>15</w:t>
            </w:r>
          </w:p>
        </w:tc>
        <w:tc>
          <w:tcPr>
            <w:tcW w:w="2340" w:type="dxa"/>
          </w:tcPr>
          <w:p w:rsidR="00595F3B" w:rsidRDefault="00595F3B" w:rsidP="006B30B7">
            <w:pPr>
              <w:rPr>
                <w:rFonts w:cstheme="minorHAnsi"/>
              </w:rPr>
            </w:pPr>
            <w:r w:rsidRPr="00317978">
              <w:rPr>
                <w:rFonts w:cstheme="minorHAnsi"/>
              </w:rPr>
              <w:t>Challenges, Solutions, What We Learned</w:t>
            </w:r>
          </w:p>
          <w:p w:rsidR="00F353F8" w:rsidRDefault="00F353F8" w:rsidP="006B30B7">
            <w:pPr>
              <w:rPr>
                <w:rFonts w:cstheme="minorHAnsi"/>
              </w:rPr>
            </w:pPr>
          </w:p>
          <w:p w:rsidR="00595F3B" w:rsidRPr="00317978" w:rsidRDefault="00595F3B" w:rsidP="006B30B7">
            <w:pPr>
              <w:rPr>
                <w:rFonts w:cstheme="minorHAnsi"/>
              </w:rPr>
            </w:pPr>
          </w:p>
        </w:tc>
        <w:tc>
          <w:tcPr>
            <w:tcW w:w="5400" w:type="dxa"/>
          </w:tcPr>
          <w:p w:rsidR="00595F3B" w:rsidRPr="00317978" w:rsidRDefault="00595F3B" w:rsidP="00A14A78">
            <w:pPr>
              <w:rPr>
                <w:rFonts w:cstheme="minorHAnsi"/>
              </w:rPr>
            </w:pPr>
            <w:r w:rsidRPr="00317978">
              <w:rPr>
                <w:rFonts w:cstheme="minorHAnsi"/>
              </w:rPr>
              <w:t>Barley, “When I Write My Masterpiece”</w:t>
            </w:r>
          </w:p>
        </w:tc>
        <w:tc>
          <w:tcPr>
            <w:tcW w:w="2340" w:type="dxa"/>
          </w:tcPr>
          <w:p w:rsidR="00595F3B" w:rsidRPr="00317978" w:rsidRDefault="00595F3B" w:rsidP="00A14A78">
            <w:pPr>
              <w:rPr>
                <w:rFonts w:cstheme="minorHAnsi"/>
              </w:rPr>
            </w:pPr>
          </w:p>
        </w:tc>
        <w:tc>
          <w:tcPr>
            <w:tcW w:w="2430" w:type="dxa"/>
          </w:tcPr>
          <w:p w:rsidR="00595F3B" w:rsidRPr="00317978" w:rsidRDefault="00595F3B" w:rsidP="00A14A78">
            <w:pPr>
              <w:rPr>
                <w:rFonts w:cstheme="minorHAnsi"/>
              </w:rPr>
            </w:pPr>
            <w:r w:rsidRPr="00317978">
              <w:rPr>
                <w:rFonts w:cstheme="minorHAnsi"/>
              </w:rPr>
              <w:t>Final Papers Due</w:t>
            </w:r>
          </w:p>
        </w:tc>
      </w:tr>
    </w:tbl>
    <w:p w:rsidR="00EC44D7" w:rsidRPr="00317978" w:rsidRDefault="00EC44D7" w:rsidP="0007185F">
      <w:pPr>
        <w:rPr>
          <w:rFonts w:cstheme="minorHAnsi"/>
        </w:rPr>
      </w:pPr>
    </w:p>
    <w:sectPr w:rsidR="00EC44D7" w:rsidRPr="00317978" w:rsidSect="000718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9E" w:rsidRDefault="00335A9E" w:rsidP="00201858">
      <w:pPr>
        <w:spacing w:after="0" w:line="240" w:lineRule="auto"/>
      </w:pPr>
      <w:r>
        <w:separator/>
      </w:r>
    </w:p>
  </w:endnote>
  <w:endnote w:type="continuationSeparator" w:id="0">
    <w:p w:rsidR="00335A9E" w:rsidRDefault="00335A9E" w:rsidP="002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5F" w:rsidRDefault="00CF5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65F" w:rsidRDefault="00CF56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5F" w:rsidRDefault="00CF565F">
    <w:pPr>
      <w:pStyle w:val="Footer"/>
      <w:framePr w:wrap="around" w:vAnchor="text" w:hAnchor="margin" w:xAlign="right" w:y="1"/>
      <w:rPr>
        <w:rStyle w:val="PageNumber"/>
        <w:rFonts w:ascii="Arial" w:hAnsi="Arial" w:cs="Arial"/>
        <w:sz w:val="22"/>
        <w:szCs w:val="22"/>
      </w:rPr>
    </w:pP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C36D29">
      <w:rPr>
        <w:rStyle w:val="PageNumber"/>
        <w:rFonts w:ascii="Arial" w:hAnsi="Arial" w:cs="Arial"/>
        <w:noProof/>
        <w:sz w:val="22"/>
        <w:szCs w:val="22"/>
      </w:rPr>
      <w:t>2</w:t>
    </w:r>
    <w:r>
      <w:rPr>
        <w:rStyle w:val="PageNumber"/>
        <w:rFonts w:ascii="Arial" w:hAnsi="Arial" w:cs="Arial"/>
        <w:sz w:val="22"/>
        <w:szCs w:val="22"/>
      </w:rPr>
      <w:fldChar w:fldCharType="end"/>
    </w:r>
  </w:p>
  <w:p w:rsidR="00CF565F" w:rsidRDefault="00CF565F">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9E" w:rsidRDefault="00335A9E" w:rsidP="00201858">
      <w:pPr>
        <w:spacing w:after="0" w:line="240" w:lineRule="auto"/>
      </w:pPr>
      <w:r>
        <w:separator/>
      </w:r>
    </w:p>
  </w:footnote>
  <w:footnote w:type="continuationSeparator" w:id="0">
    <w:p w:rsidR="00335A9E" w:rsidRDefault="00335A9E" w:rsidP="00201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5F" w:rsidRPr="00B4008A" w:rsidRDefault="00CF565F">
    <w:pPr>
      <w:pStyle w:val="Header"/>
      <w:rPr>
        <w:rFonts w:ascii="Arial Narrow" w:hAnsi="Arial Narrow"/>
      </w:rPr>
    </w:pPr>
    <w:r>
      <w:rPr>
        <w:rFonts w:ascii="Arial Narrow" w:hAnsi="Arial Narrow"/>
      </w:rPr>
      <w:t xml:space="preserve">INF391E Ethnography </w:t>
    </w:r>
    <w:r w:rsidRPr="00B4008A">
      <w:rPr>
        <w:rFonts w:ascii="Arial Narrow" w:hAnsi="Arial Narrow"/>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9FD"/>
    <w:multiLevelType w:val="hybridMultilevel"/>
    <w:tmpl w:val="F162FCE2"/>
    <w:lvl w:ilvl="0" w:tplc="0409000F">
      <w:start w:val="1"/>
      <w:numFmt w:val="decimal"/>
      <w:lvlText w:val="%1."/>
      <w:lvlJc w:val="left"/>
      <w:pPr>
        <w:tabs>
          <w:tab w:val="num" w:pos="1080"/>
        </w:tabs>
        <w:ind w:left="108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C9E3A64"/>
    <w:multiLevelType w:val="hybridMultilevel"/>
    <w:tmpl w:val="8EEC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35609"/>
    <w:multiLevelType w:val="hybridMultilevel"/>
    <w:tmpl w:val="BAE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64E09"/>
    <w:multiLevelType w:val="hybridMultilevel"/>
    <w:tmpl w:val="FDD6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D5A0F"/>
    <w:multiLevelType w:val="multilevel"/>
    <w:tmpl w:val="60C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B397B"/>
    <w:multiLevelType w:val="hybridMultilevel"/>
    <w:tmpl w:val="C9F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43059"/>
    <w:multiLevelType w:val="hybridMultilevel"/>
    <w:tmpl w:val="2138E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D2A43"/>
    <w:multiLevelType w:val="hybridMultilevel"/>
    <w:tmpl w:val="1600770E"/>
    <w:lvl w:ilvl="0" w:tplc="AC26A29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43"/>
    <w:rsid w:val="000362C1"/>
    <w:rsid w:val="000560AC"/>
    <w:rsid w:val="0007185F"/>
    <w:rsid w:val="0008417C"/>
    <w:rsid w:val="00152025"/>
    <w:rsid w:val="001A3637"/>
    <w:rsid w:val="001B2EDA"/>
    <w:rsid w:val="001E3A1A"/>
    <w:rsid w:val="001F145C"/>
    <w:rsid w:val="001F2A08"/>
    <w:rsid w:val="00201858"/>
    <w:rsid w:val="0022025A"/>
    <w:rsid w:val="0022521E"/>
    <w:rsid w:val="0024285B"/>
    <w:rsid w:val="00276663"/>
    <w:rsid w:val="002959AE"/>
    <w:rsid w:val="002B27DF"/>
    <w:rsid w:val="002C3510"/>
    <w:rsid w:val="002E283C"/>
    <w:rsid w:val="00307543"/>
    <w:rsid w:val="00317978"/>
    <w:rsid w:val="003307A3"/>
    <w:rsid w:val="00335A9E"/>
    <w:rsid w:val="00344CB3"/>
    <w:rsid w:val="003D373B"/>
    <w:rsid w:val="003D55B0"/>
    <w:rsid w:val="003F2F8A"/>
    <w:rsid w:val="004531E5"/>
    <w:rsid w:val="0046348B"/>
    <w:rsid w:val="004C0008"/>
    <w:rsid w:val="004F4B62"/>
    <w:rsid w:val="005005B6"/>
    <w:rsid w:val="005132C4"/>
    <w:rsid w:val="00526489"/>
    <w:rsid w:val="00595F3B"/>
    <w:rsid w:val="00643748"/>
    <w:rsid w:val="006531DD"/>
    <w:rsid w:val="006B30B7"/>
    <w:rsid w:val="006B6B3C"/>
    <w:rsid w:val="006C099D"/>
    <w:rsid w:val="006E34E0"/>
    <w:rsid w:val="00710016"/>
    <w:rsid w:val="00724BF5"/>
    <w:rsid w:val="007475C2"/>
    <w:rsid w:val="00750B76"/>
    <w:rsid w:val="007A7044"/>
    <w:rsid w:val="007C1BC9"/>
    <w:rsid w:val="007C23E8"/>
    <w:rsid w:val="007E06D6"/>
    <w:rsid w:val="007F44D0"/>
    <w:rsid w:val="00804542"/>
    <w:rsid w:val="00812521"/>
    <w:rsid w:val="0082374F"/>
    <w:rsid w:val="00875786"/>
    <w:rsid w:val="00885DBC"/>
    <w:rsid w:val="009358A9"/>
    <w:rsid w:val="009E7426"/>
    <w:rsid w:val="00A14A78"/>
    <w:rsid w:val="00AB5FAF"/>
    <w:rsid w:val="00B13033"/>
    <w:rsid w:val="00B206A0"/>
    <w:rsid w:val="00B5631B"/>
    <w:rsid w:val="00BB6BB1"/>
    <w:rsid w:val="00BD0F8D"/>
    <w:rsid w:val="00BD71FD"/>
    <w:rsid w:val="00C154EE"/>
    <w:rsid w:val="00C27D82"/>
    <w:rsid w:val="00C36D29"/>
    <w:rsid w:val="00C67579"/>
    <w:rsid w:val="00C73194"/>
    <w:rsid w:val="00C77034"/>
    <w:rsid w:val="00CE5EA0"/>
    <w:rsid w:val="00CF0FCB"/>
    <w:rsid w:val="00CF565F"/>
    <w:rsid w:val="00D066E8"/>
    <w:rsid w:val="00D226AE"/>
    <w:rsid w:val="00D346C2"/>
    <w:rsid w:val="00D819D6"/>
    <w:rsid w:val="00D86B22"/>
    <w:rsid w:val="00DE34A1"/>
    <w:rsid w:val="00DF6962"/>
    <w:rsid w:val="00E00B02"/>
    <w:rsid w:val="00E015CE"/>
    <w:rsid w:val="00E6162B"/>
    <w:rsid w:val="00E94A2A"/>
    <w:rsid w:val="00EC44D7"/>
    <w:rsid w:val="00ED16CE"/>
    <w:rsid w:val="00F31F40"/>
    <w:rsid w:val="00F353F8"/>
    <w:rsid w:val="00F50AA9"/>
    <w:rsid w:val="00F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3D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7A3"/>
    <w:pPr>
      <w:keepNext/>
      <w:spacing w:after="0" w:line="240" w:lineRule="auto"/>
      <w:outlineLvl w:val="0"/>
    </w:pPr>
    <w:rPr>
      <w:rFonts w:ascii="Lucida Grande" w:eastAsia="Times" w:hAnsi="Lucida Grande" w:cs="Times New Roman"/>
      <w:b/>
      <w:sz w:val="20"/>
      <w:szCs w:val="20"/>
    </w:rPr>
  </w:style>
  <w:style w:type="paragraph" w:styleId="Heading2">
    <w:name w:val="heading 2"/>
    <w:basedOn w:val="Normal"/>
    <w:next w:val="Normal"/>
    <w:link w:val="Heading2Char"/>
    <w:qFormat/>
    <w:rsid w:val="003307A3"/>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3307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C1"/>
    <w:rPr>
      <w:color w:val="0000FF"/>
      <w:u w:val="single"/>
    </w:rPr>
  </w:style>
  <w:style w:type="paragraph" w:styleId="ListParagraph">
    <w:name w:val="List Paragraph"/>
    <w:basedOn w:val="Normal"/>
    <w:uiPriority w:val="34"/>
    <w:qFormat/>
    <w:rsid w:val="00B13033"/>
    <w:pPr>
      <w:ind w:left="720"/>
      <w:contextualSpacing/>
    </w:pPr>
  </w:style>
  <w:style w:type="character" w:customStyle="1" w:styleId="Heading1Char">
    <w:name w:val="Heading 1 Char"/>
    <w:basedOn w:val="DefaultParagraphFont"/>
    <w:link w:val="Heading1"/>
    <w:rsid w:val="003307A3"/>
    <w:rPr>
      <w:rFonts w:ascii="Lucida Grande" w:eastAsia="Times" w:hAnsi="Lucida Grande" w:cs="Times New Roman"/>
      <w:b/>
      <w:sz w:val="20"/>
      <w:szCs w:val="20"/>
    </w:rPr>
  </w:style>
  <w:style w:type="character" w:customStyle="1" w:styleId="Heading2Char">
    <w:name w:val="Heading 2 Char"/>
    <w:basedOn w:val="DefaultParagraphFont"/>
    <w:link w:val="Heading2"/>
    <w:rsid w:val="003307A3"/>
    <w:rPr>
      <w:rFonts w:ascii="Times New Roman" w:eastAsia="Times New Roman" w:hAnsi="Times New Roman" w:cs="Times New Roman"/>
      <w:b/>
      <w:szCs w:val="20"/>
    </w:rPr>
  </w:style>
  <w:style w:type="character" w:customStyle="1" w:styleId="Heading3Char">
    <w:name w:val="Heading 3 Char"/>
    <w:basedOn w:val="DefaultParagraphFont"/>
    <w:link w:val="Heading3"/>
    <w:rsid w:val="003307A3"/>
    <w:rPr>
      <w:rFonts w:ascii="Lucida Grande" w:eastAsia="Times New Roman" w:hAnsi="Lucida Grande" w:cs="Times New Roman"/>
      <w:b/>
      <w:i/>
      <w:sz w:val="20"/>
      <w:szCs w:val="20"/>
    </w:rPr>
  </w:style>
  <w:style w:type="paragraph" w:styleId="Header">
    <w:name w:val="header"/>
    <w:basedOn w:val="Normal"/>
    <w:link w:val="HeaderChar"/>
    <w:rsid w:val="003307A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07A3"/>
    <w:rPr>
      <w:rFonts w:ascii="Times New Roman" w:eastAsia="Times New Roman" w:hAnsi="Times New Roman" w:cs="Times New Roman"/>
      <w:sz w:val="20"/>
      <w:szCs w:val="20"/>
    </w:rPr>
  </w:style>
  <w:style w:type="paragraph" w:styleId="BodyText">
    <w:name w:val="Body Text"/>
    <w:basedOn w:val="Normal"/>
    <w:link w:val="BodyTextChar"/>
    <w:rsid w:val="003307A3"/>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3307A3"/>
    <w:rPr>
      <w:rFonts w:ascii="Lucida Grande" w:eastAsia="Times" w:hAnsi="Lucida Grande" w:cs="Times New Roman"/>
      <w:sz w:val="20"/>
      <w:szCs w:val="20"/>
    </w:rPr>
  </w:style>
  <w:style w:type="paragraph" w:styleId="Title">
    <w:name w:val="Title"/>
    <w:basedOn w:val="Normal"/>
    <w:link w:val="TitleChar"/>
    <w:qFormat/>
    <w:rsid w:val="003307A3"/>
    <w:pPr>
      <w:spacing w:after="0" w:line="240" w:lineRule="auto"/>
      <w:jc w:val="center"/>
    </w:pPr>
    <w:rPr>
      <w:rFonts w:ascii="Lucida Grande" w:eastAsia="Times" w:hAnsi="Lucida Grande" w:cs="Times New Roman"/>
      <w:b/>
      <w:sz w:val="20"/>
      <w:szCs w:val="20"/>
    </w:rPr>
  </w:style>
  <w:style w:type="character" w:customStyle="1" w:styleId="TitleChar">
    <w:name w:val="Title Char"/>
    <w:basedOn w:val="DefaultParagraphFont"/>
    <w:link w:val="Title"/>
    <w:rsid w:val="003307A3"/>
    <w:rPr>
      <w:rFonts w:ascii="Lucida Grande" w:eastAsia="Times" w:hAnsi="Lucida Grande" w:cs="Times New Roman"/>
      <w:b/>
      <w:sz w:val="20"/>
      <w:szCs w:val="20"/>
    </w:rPr>
  </w:style>
  <w:style w:type="paragraph" w:styleId="Footer">
    <w:name w:val="footer"/>
    <w:basedOn w:val="Normal"/>
    <w:link w:val="FooterChar"/>
    <w:rsid w:val="003307A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3307A3"/>
    <w:rPr>
      <w:rFonts w:ascii="Times" w:eastAsia="Times" w:hAnsi="Times" w:cs="Times New Roman"/>
      <w:sz w:val="24"/>
      <w:szCs w:val="20"/>
    </w:rPr>
  </w:style>
  <w:style w:type="paragraph" w:styleId="NormalWeb">
    <w:name w:val="Normal (Web)"/>
    <w:basedOn w:val="Normal"/>
    <w:uiPriority w:val="99"/>
    <w:rsid w:val="003307A3"/>
    <w:pPr>
      <w:spacing w:before="100" w:beforeAutospacing="1" w:after="100" w:afterAutospacing="1" w:line="240" w:lineRule="auto"/>
    </w:pPr>
    <w:rPr>
      <w:rFonts w:ascii="Arial Unicode MS" w:eastAsia="Arial Unicode MS" w:hAnsi="Arial Unicode MS" w:cs="Times New Roman"/>
      <w:sz w:val="24"/>
      <w:szCs w:val="20"/>
    </w:rPr>
  </w:style>
  <w:style w:type="character" w:styleId="PageNumber">
    <w:name w:val="page number"/>
    <w:basedOn w:val="DefaultParagraphFont"/>
    <w:rsid w:val="003307A3"/>
  </w:style>
  <w:style w:type="paragraph" w:styleId="BalloonText">
    <w:name w:val="Balloon Text"/>
    <w:basedOn w:val="Normal"/>
    <w:link w:val="BalloonTextChar"/>
    <w:uiPriority w:val="99"/>
    <w:semiHidden/>
    <w:unhideWhenUsed/>
    <w:rsid w:val="003D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002">
      <w:bodyDiv w:val="1"/>
      <w:marLeft w:val="0"/>
      <w:marRight w:val="0"/>
      <w:marTop w:val="0"/>
      <w:marBottom w:val="0"/>
      <w:divBdr>
        <w:top w:val="none" w:sz="0" w:space="0" w:color="auto"/>
        <w:left w:val="none" w:sz="0" w:space="0" w:color="auto"/>
        <w:bottom w:val="none" w:sz="0" w:space="0" w:color="auto"/>
        <w:right w:val="none" w:sz="0" w:space="0" w:color="auto"/>
      </w:divBdr>
    </w:div>
    <w:div w:id="1354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exas.edu/welcome/miss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ona@ischool.utexa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bailey@ischool.utexas.edu" TargetMode="External"/><Relationship Id="rId5" Type="http://schemas.openxmlformats.org/officeDocument/2006/relationships/webSettings" Target="webSettings.xml"/><Relationship Id="rId15" Type="http://schemas.openxmlformats.org/officeDocument/2006/relationships/hyperlink" Target="http://www.atlasti.com/students.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exas.edu/diversity/ddce/ssd/for_c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Bailey</dc:creator>
  <cp:lastModifiedBy>Diane Bailey</cp:lastModifiedBy>
  <cp:revision>2</cp:revision>
  <cp:lastPrinted>2012-12-19T16:58:00Z</cp:lastPrinted>
  <dcterms:created xsi:type="dcterms:W3CDTF">2015-07-26T20:52:00Z</dcterms:created>
  <dcterms:modified xsi:type="dcterms:W3CDTF">2015-07-26T20:52:00Z</dcterms:modified>
</cp:coreProperties>
</file>